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Revenu universel à 1 200 €</w:t>
      </w:r>
    </w:p>
    <w:p>
      <w:pPr>
        <w:pStyle w:val="Subtitle"/>
      </w:pPr>
      <w:r>
        <w:t>Une proposition citoyenne à chiffrer sérieusement</w:t>
      </w:r>
    </w:p>
    <w:p>
      <w:pPr>
        <w:spacing w:before="140" w:after="160"/>
      </w:pPr>
      <w:r>
        <w:rPr>
          <w:color w:val="5F6973"/>
          <w:sz w:val="20"/>
        </w:rPr>
        <w:t>Août 2026</w:t>
      </w:r>
    </w:p>
    <w:tbl>
      <w:tblPr>
        <w:tblW w:type="auto" w:w="0"/>
        <w:jc w:val="center"/>
        <w:tblLayout w:type="fixed"/>
        <w:tblLook w:firstColumn="1" w:firstRow="1" w:lastColumn="0" w:lastRow="0" w:noHBand="0" w:noVBand="1" w:val="04A0"/>
        <w:tblBorders>
          <w:top w:val="single" w:sz="5" w:space="0" w:color="B7C7D6"/>
          <w:left w:val="single" w:sz="5" w:space="0" w:color="B7C7D6"/>
          <w:bottom w:val="single" w:sz="5" w:space="0" w:color="B7C7D6"/>
          <w:right w:val="single" w:sz="5" w:space="0" w:color="B7C7D6"/>
          <w:insideH w:val="single" w:sz="5" w:space="0" w:color="B7C7D6"/>
          <w:insideV w:val="single" w:sz="5" w:space="0" w:color="B7C7D6"/>
        </w:tblBorders>
      </w:tblPr>
      <w:tblGrid>
        <w:gridCol w:w="9241"/>
      </w:tblGrid>
      <w:tr>
        <w:tc>
          <w:tcPr>
            <w:tcW w:type="dxa" w:w="9972"/>
            <w:shd w:fill="F4F7FA"/>
            <w:tcMar>
              <w:top w:w="120" w:type="dxa"/>
              <w:start w:w="140" w:type="dxa"/>
              <w:bottom w:w="120" w:type="dxa"/>
              <w:end w:w="140" w:type="dxa"/>
            </w:tcMar>
          </w:tcPr>
          <w:p>
            <w:pPr>
              <w:spacing w:after="60"/>
            </w:pPr>
            <w:r>
              <w:rPr>
                <w:rFonts w:ascii="Aptos" w:hAnsi="Aptos"/>
                <w:b/>
                <w:sz w:val="21"/>
              </w:rPr>
              <w:t>Idée de départ</w:t>
            </w:r>
          </w:p>
          <w:p>
            <w:pPr>
              <w:spacing w:after="0"/>
            </w:pPr>
            <w:r>
              <w:rPr>
                <w:rFonts w:ascii="Aptos" w:hAnsi="Aptos"/>
                <w:sz w:val="20"/>
              </w:rPr>
              <w:t>Garantir à chaque adulte un revenu de base qui permet réellement de vivre, puis appliquer un prélèvement sur les revenus gagnés dès le premier euro. Le revenu de base ne baisse jamais quand on reprend un emploi. Le travail reste donc toujours rémunérateur, mais il devient moins directement lié à la survie matérielle.</w:t>
            </w:r>
          </w:p>
        </w:tc>
      </w:tr>
    </w:tbl>
    <w:p>
      <w:pPr>
        <w:spacing w:after="20"/>
      </w:pPr>
    </w:p>
    <w:p>
      <w:r>
        <w:t>Cette proposition ajoute un revenu automatique par enfant et un supplément en cas de handicap important. Elle ne cherche pas à remplacer l'Assurance maladie, l'école ou les services publics. Les retraites et l'assurance chômage garderaient une partie contributive au-dessus du socle universel.</w:t>
      </w:r>
    </w:p>
    <w:p>
      <w:r>
        <w:rPr>
          <w:b/>
        </w:rPr>
        <w:t>Ce document n'est pas une étude économique officielle.</w:t>
      </w:r>
      <w:r>
        <w:t xml:space="preserve"> Les chiffres servent à tester les ordres de grandeur et à identifier les points qui doivent être simulés avec des microdonnées réelles. Le but est de faire évaluer le scénario avec INES, EDIFIS ou un outil équivalent, puis de le corriger en fonction des résultats.</w:t>
      </w:r>
    </w:p>
    <w:p>
      <w:pPr>
        <w:pStyle w:val="Heading1"/>
        <w:keepNext/>
      </w:pPr>
      <w:r>
        <w:t>1. Le projet en une page</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4986"/>
        <w:gridCol w:w="4986"/>
      </w:tblGrid>
      <w:tr>
        <w:trPr>
          <w:tblHeader w:val="true"/>
        </w:trPr>
        <w:tc>
          <w:tcPr>
            <w:tcW w:type="dxa" w:w="2948"/>
            <w:shd w:fill="EAF0F5"/>
            <w:tcMar>
              <w:top w:w="80" w:type="dxa"/>
              <w:start w:w="90" w:type="dxa"/>
              <w:bottom w:w="80" w:type="dxa"/>
              <w:end w:w="90" w:type="dxa"/>
            </w:tcMar>
            <w:vAlign w:val="center"/>
          </w:tcPr>
          <w:p>
            <w:pPr>
              <w:spacing w:after="0"/>
            </w:pPr>
            <w:r>
              <w:rPr>
                <w:rFonts w:ascii="Aptos" w:hAnsi="Aptos"/>
                <w:b/>
                <w:sz w:val="19"/>
              </w:rPr>
              <w:t>Élément</w:t>
            </w:r>
          </w:p>
        </w:tc>
        <w:tc>
          <w:tcPr>
            <w:tcW w:type="dxa" w:w="6293"/>
            <w:shd w:fill="EAF0F5"/>
            <w:tcMar>
              <w:top w:w="80" w:type="dxa"/>
              <w:start w:w="90" w:type="dxa"/>
              <w:bottom w:w="80" w:type="dxa"/>
              <w:end w:w="90" w:type="dxa"/>
            </w:tcMar>
            <w:vAlign w:val="center"/>
          </w:tcPr>
          <w:p>
            <w:pPr>
              <w:spacing w:after="0"/>
            </w:pPr>
            <w:r>
              <w:rPr>
                <w:rFonts w:ascii="Aptos" w:hAnsi="Aptos"/>
                <w:b/>
                <w:sz w:val="19"/>
              </w:rPr>
              <w:t>Proposition de départ</w:t>
            </w:r>
          </w:p>
        </w:tc>
      </w:tr>
      <w:tr>
        <w:tc>
          <w:tcPr>
            <w:tcW w:type="dxa" w:w="2948"/>
            <w:tcMar>
              <w:top w:w="80" w:type="dxa"/>
              <w:start w:w="90" w:type="dxa"/>
              <w:bottom w:w="80" w:type="dxa"/>
              <w:end w:w="90" w:type="dxa"/>
            </w:tcMar>
            <w:vAlign w:val="center"/>
          </w:tcPr>
          <w:p>
            <w:pPr>
              <w:spacing w:after="0"/>
            </w:pPr>
            <w:r>
              <w:rPr>
                <w:rFonts w:ascii="Aptos" w:hAnsi="Aptos"/>
                <w:sz w:val="18"/>
              </w:rPr>
              <w:t>Adulte</w:t>
            </w:r>
          </w:p>
        </w:tc>
        <w:tc>
          <w:tcPr>
            <w:tcW w:type="dxa" w:w="6293"/>
            <w:tcMar>
              <w:top w:w="80" w:type="dxa"/>
              <w:start w:w="90" w:type="dxa"/>
              <w:bottom w:w="80" w:type="dxa"/>
              <w:end w:w="90" w:type="dxa"/>
            </w:tcMar>
            <w:vAlign w:val="center"/>
          </w:tcPr>
          <w:p>
            <w:pPr>
              <w:spacing w:after="0"/>
            </w:pPr>
            <w:r>
              <w:rPr>
                <w:rFonts w:ascii="Aptos" w:hAnsi="Aptos"/>
                <w:sz w:val="18"/>
              </w:rPr>
              <w:t>1 200 € par mois, versement individuel et automatique</w:t>
            </w:r>
          </w:p>
        </w:tc>
      </w:tr>
      <w:tr>
        <w:tc>
          <w:tcPr>
            <w:tcW w:type="dxa" w:w="2948"/>
            <w:tcMar>
              <w:top w:w="80" w:type="dxa"/>
              <w:start w:w="90" w:type="dxa"/>
              <w:bottom w:w="80" w:type="dxa"/>
              <w:end w:w="90" w:type="dxa"/>
            </w:tcMar>
            <w:shd w:fill="F8FAFC"/>
            <w:vAlign w:val="center"/>
          </w:tcPr>
          <w:p>
            <w:pPr>
              <w:spacing w:after="0"/>
            </w:pPr>
            <w:r>
              <w:rPr>
                <w:rFonts w:ascii="Aptos" w:hAnsi="Aptos"/>
                <w:sz w:val="18"/>
              </w:rPr>
              <w:t>Enfant de 0 à 4 ans</w:t>
            </w:r>
          </w:p>
        </w:tc>
        <w:tc>
          <w:tcPr>
            <w:tcW w:type="dxa" w:w="6293"/>
            <w:tcMar>
              <w:top w:w="80" w:type="dxa"/>
              <w:start w:w="90" w:type="dxa"/>
              <w:bottom w:w="80" w:type="dxa"/>
              <w:end w:w="90" w:type="dxa"/>
            </w:tcMar>
            <w:shd w:fill="F8FAFC"/>
            <w:vAlign w:val="center"/>
          </w:tcPr>
          <w:p>
            <w:pPr>
              <w:spacing w:after="0"/>
            </w:pPr>
            <w:r>
              <w:rPr>
                <w:rFonts w:ascii="Aptos" w:hAnsi="Aptos"/>
                <w:sz w:val="18"/>
              </w:rPr>
              <w:t>600 € par mois</w:t>
            </w:r>
          </w:p>
        </w:tc>
      </w:tr>
      <w:tr>
        <w:tc>
          <w:tcPr>
            <w:tcW w:type="dxa" w:w="2948"/>
            <w:tcMar>
              <w:top w:w="80" w:type="dxa"/>
              <w:start w:w="90" w:type="dxa"/>
              <w:bottom w:w="80" w:type="dxa"/>
              <w:end w:w="90" w:type="dxa"/>
            </w:tcMar>
            <w:vAlign w:val="center"/>
          </w:tcPr>
          <w:p>
            <w:pPr>
              <w:spacing w:after="0"/>
            </w:pPr>
            <w:r>
              <w:rPr>
                <w:rFonts w:ascii="Aptos" w:hAnsi="Aptos"/>
                <w:sz w:val="18"/>
              </w:rPr>
              <w:t>Enfant de 5 à 17 ans</w:t>
            </w:r>
          </w:p>
        </w:tc>
        <w:tc>
          <w:tcPr>
            <w:tcW w:type="dxa" w:w="6293"/>
            <w:tcMar>
              <w:top w:w="80" w:type="dxa"/>
              <w:start w:w="90" w:type="dxa"/>
              <w:bottom w:w="80" w:type="dxa"/>
              <w:end w:w="90" w:type="dxa"/>
            </w:tcMar>
            <w:vAlign w:val="center"/>
          </w:tcPr>
          <w:p>
            <w:pPr>
              <w:spacing w:after="0"/>
            </w:pPr>
            <w:r>
              <w:rPr>
                <w:rFonts w:ascii="Aptos" w:hAnsi="Aptos"/>
                <w:sz w:val="18"/>
              </w:rPr>
              <w:t>300 € par mois</w:t>
            </w:r>
          </w:p>
        </w:tc>
      </w:tr>
      <w:tr>
        <w:tc>
          <w:tcPr>
            <w:tcW w:type="dxa" w:w="2948"/>
            <w:tcMar>
              <w:top w:w="80" w:type="dxa"/>
              <w:start w:w="90" w:type="dxa"/>
              <w:bottom w:w="80" w:type="dxa"/>
              <w:end w:w="90" w:type="dxa"/>
            </w:tcMar>
            <w:shd w:fill="F8FAFC"/>
            <w:vAlign w:val="center"/>
          </w:tcPr>
          <w:p>
            <w:pPr>
              <w:spacing w:after="0"/>
            </w:pPr>
            <w:r>
              <w:rPr>
                <w:rFonts w:ascii="Aptos" w:hAnsi="Aptos"/>
                <w:sz w:val="18"/>
              </w:rPr>
              <w:t>Handicap important</w:t>
            </w:r>
          </w:p>
        </w:tc>
        <w:tc>
          <w:tcPr>
            <w:tcW w:type="dxa" w:w="6293"/>
            <w:tcMar>
              <w:top w:w="80" w:type="dxa"/>
              <w:start w:w="90" w:type="dxa"/>
              <w:bottom w:w="80" w:type="dxa"/>
              <w:end w:w="90" w:type="dxa"/>
            </w:tcMar>
            <w:shd w:fill="F8FAFC"/>
            <w:vAlign w:val="center"/>
          </w:tcPr>
          <w:p>
            <w:pPr>
              <w:spacing w:after="0"/>
            </w:pPr>
            <w:r>
              <w:rPr>
                <w:rFonts w:ascii="Aptos" w:hAnsi="Aptos"/>
                <w:sz w:val="18"/>
              </w:rPr>
              <w:t>supplément à calibrer, cible autour de +80 % net</w:t>
            </w:r>
          </w:p>
        </w:tc>
      </w:tr>
      <w:tr>
        <w:tc>
          <w:tcPr>
            <w:tcW w:type="dxa" w:w="2948"/>
            <w:tcMar>
              <w:top w:w="80" w:type="dxa"/>
              <w:start w:w="90" w:type="dxa"/>
              <w:bottom w:w="80" w:type="dxa"/>
              <w:end w:w="90" w:type="dxa"/>
            </w:tcMar>
            <w:vAlign w:val="center"/>
          </w:tcPr>
          <w:p>
            <w:pPr>
              <w:spacing w:after="0"/>
            </w:pPr>
            <w:r>
              <w:rPr>
                <w:rFonts w:ascii="Aptos" w:hAnsi="Aptos"/>
                <w:sz w:val="18"/>
              </w:rPr>
              <w:t>Fiscalité</w:t>
            </w:r>
          </w:p>
        </w:tc>
        <w:tc>
          <w:tcPr>
            <w:tcW w:type="dxa" w:w="6293"/>
            <w:tcMar>
              <w:top w:w="80" w:type="dxa"/>
              <w:start w:w="90" w:type="dxa"/>
              <w:bottom w:w="80" w:type="dxa"/>
              <w:end w:w="90" w:type="dxa"/>
            </w:tcMar>
            <w:vAlign w:val="center"/>
          </w:tcPr>
          <w:p>
            <w:pPr>
              <w:spacing w:after="0"/>
            </w:pPr>
            <w:r>
              <w:rPr>
                <w:rFonts w:ascii="Aptos" w:hAnsi="Aptos"/>
                <w:sz w:val="18"/>
              </w:rPr>
              <w:t>prélèvement dès le premier euro de revenu gagné</w:t>
            </w:r>
          </w:p>
        </w:tc>
      </w:tr>
      <w:tr>
        <w:tc>
          <w:tcPr>
            <w:tcW w:type="dxa" w:w="2948"/>
            <w:tcMar>
              <w:top w:w="80" w:type="dxa"/>
              <w:start w:w="90" w:type="dxa"/>
              <w:bottom w:w="80" w:type="dxa"/>
              <w:end w:w="90" w:type="dxa"/>
            </w:tcMar>
            <w:shd w:fill="F8FAFC"/>
            <w:vAlign w:val="center"/>
          </w:tcPr>
          <w:p>
            <w:pPr>
              <w:spacing w:after="0"/>
            </w:pPr>
            <w:r>
              <w:rPr>
                <w:rFonts w:ascii="Aptos" w:hAnsi="Aptos"/>
                <w:sz w:val="18"/>
              </w:rPr>
              <w:t>Aides sous condition</w:t>
            </w:r>
          </w:p>
        </w:tc>
        <w:tc>
          <w:tcPr>
            <w:tcW w:type="dxa" w:w="6293"/>
            <w:tcMar>
              <w:top w:w="80" w:type="dxa"/>
              <w:start w:w="90" w:type="dxa"/>
              <w:bottom w:w="80" w:type="dxa"/>
              <w:end w:w="90" w:type="dxa"/>
            </w:tcMar>
            <w:shd w:fill="F8FAFC"/>
            <w:vAlign w:val="center"/>
          </w:tcPr>
          <w:p>
            <w:pPr>
              <w:spacing w:after="0"/>
            </w:pPr>
            <w:r>
              <w:rPr>
                <w:rFonts w:ascii="Aptos" w:hAnsi="Aptos"/>
                <w:sz w:val="18"/>
              </w:rPr>
              <w:t>intégration progressive de celles devenues redondantes</w:t>
            </w:r>
          </w:p>
        </w:tc>
      </w:tr>
      <w:tr>
        <w:tc>
          <w:tcPr>
            <w:tcW w:type="dxa" w:w="2948"/>
            <w:tcMar>
              <w:top w:w="80" w:type="dxa"/>
              <w:start w:w="90" w:type="dxa"/>
              <w:bottom w:w="80" w:type="dxa"/>
              <w:end w:w="90" w:type="dxa"/>
            </w:tcMar>
            <w:vAlign w:val="center"/>
          </w:tcPr>
          <w:p>
            <w:pPr>
              <w:spacing w:after="0"/>
            </w:pPr>
            <w:r>
              <w:rPr>
                <w:rFonts w:ascii="Aptos" w:hAnsi="Aptos"/>
                <w:sz w:val="18"/>
              </w:rPr>
              <w:t>Santé et services publics</w:t>
            </w:r>
          </w:p>
        </w:tc>
        <w:tc>
          <w:tcPr>
            <w:tcW w:type="dxa" w:w="6293"/>
            <w:tcMar>
              <w:top w:w="80" w:type="dxa"/>
              <w:start w:w="90" w:type="dxa"/>
              <w:bottom w:w="80" w:type="dxa"/>
              <w:end w:w="90" w:type="dxa"/>
            </w:tcMar>
            <w:vAlign w:val="center"/>
          </w:tcPr>
          <w:p>
            <w:pPr>
              <w:spacing w:after="0"/>
            </w:pPr>
            <w:r>
              <w:rPr>
                <w:rFonts w:ascii="Aptos" w:hAnsi="Aptos"/>
                <w:sz w:val="18"/>
              </w:rPr>
              <w:t>maintenus à part du revenu universel</w:t>
            </w:r>
          </w:p>
        </w:tc>
      </w:tr>
    </w:tbl>
    <w:p>
      <w:pPr>
        <w:spacing w:after="20"/>
      </w:pPr>
    </w:p>
    <w:p>
      <w:pPr>
        <w:pStyle w:val="ListBullet"/>
        <w:spacing w:after="60"/>
      </w:pPr>
      <w:r>
        <w:t>Le revenu de base n'est jamais retiré quand le salaire augmente. Il n'y a donc plus de perte brutale de RSA, de prime d'activité ou d'une autre prestation liée à un seuil.</w:t>
      </w:r>
    </w:p>
    <w:p>
      <w:pPr>
        <w:pStyle w:val="ListBullet"/>
        <w:spacing w:after="60"/>
      </w:pPr>
      <w:r>
        <w:t>Le handicap donne droit à un supplément fondé sur le niveau d'incapacité et les besoins, pas sur le revenu du conjoint.</w:t>
      </w:r>
    </w:p>
    <w:p>
      <w:pPr>
        <w:pStyle w:val="ListBullet"/>
        <w:spacing w:after="60"/>
      </w:pPr>
      <w:r>
        <w:t>Le revenu universel devient le premier étage de la retraite et du chômage, pas un bonus ajouté intégralement par-dessus les droits existants.</w:t>
      </w:r>
    </w:p>
    <w:p>
      <w:pPr>
        <w:pStyle w:val="ListBullet"/>
        <w:spacing w:after="60"/>
      </w:pPr>
      <w:r>
        <w:t>La question centrale reste le financement : quel barème fiscal permet l'équilibre, et qui gagne ou perd selon le revenu et la composition du foyer ?</w:t>
      </w:r>
    </w:p>
    <w:p>
      <w:pPr>
        <w:pStyle w:val="Heading1"/>
        <w:keepNext/>
      </w:pPr>
      <w:r>
        <w:t>2. Pourquoi viser environ 1 200 € ?</w:t>
      </w:r>
    </w:p>
    <w:p>
      <w:r>
        <w:t xml:space="preserve">Un revenu de base à 500 ou 600 € peut simplifier certaines aides, mais il ne permet pas réellement de vivre seul. La logique proposée ici est différente : le socle doit couvrir les besoins essentiels. En 2022, le seuil de pauvreté à 60 % du niveau de vie médian était de 1 216 € par mois selon la DREES. </w:t>
      </w:r>
      <w:r>
        <w:rPr>
          <w:i/>
        </w:rPr>
        <w:t>1 200 € sert donc de point de départ lisible, pas de montant définitif.</w:t>
      </w:r>
    </w:p>
    <w:p>
      <w:r>
        <w:t>Le niveau devrait ensuite être ajusté en fonction des prix, du logement et de l'effet réel sur les comportements. Le système actuel cherche déjà à faire augmenter le revenu disponible avec le travail, mais il le fait en combinant plusieurs prestations et règles. La maquette EDIFIS de la DREES montre par exemple qu'au 1er juillet 2025 une personne seule locataire en zone 2 disposait d'environ 883 € sans activité et de 1 670 € avec un SMIC net de 1 426 €.</w:t>
      </w:r>
    </w:p>
    <w:p>
      <w:r>
        <w:t>L'autre objectif est de changer le rapport au temps de travail. Avec un socle garanti, une personne peut plus facilement accepter un mi-temps, reprendre des études, créer une activité, s'occuper d'un proche ou refuser un emploi très dégradé. Si l'IA et l'automatisation augmentent fortement la productivité, ce mécanisme peut aussi permettre de partager une partie du gain autrement que seulement par le salaire.</w:t>
      </w:r>
    </w:p>
    <w:p>
      <w:pPr>
        <w:pStyle w:val="Heading1"/>
        <w:keepNext/>
      </w:pPr>
      <w:r>
        <w:t>3. Architecture proposée</w:t>
      </w:r>
    </w:p>
    <w:p>
      <w:pPr>
        <w:pStyle w:val="Heading2"/>
        <w:keepNext/>
      </w:pPr>
      <w:r>
        <w:t>3.1 Adulte</w:t>
      </w:r>
    </w:p>
    <w:p>
      <w:r>
        <w:t>1 200 € par mois, versés individuellement. Pas de condition de ressources, pas de contrôle du revenu du conjoint et pas de déclaration trimestrielle pour conserver le droit. Les règles exactes de résidence et de durée de présence en France doivent être fixées politiquement et juridiquement.</w:t>
      </w:r>
    </w:p>
    <w:p>
      <w:pPr>
        <w:pStyle w:val="Heading2"/>
        <w:keepNext/>
      </w:pPr>
      <w:r>
        <w:t>3.2 Enfants</w:t>
      </w:r>
    </w:p>
    <w:p>
      <w:r>
        <w:t>Proposition de départ : 600 € de 0 à 4 ans puis 300 € de 5 à 17 ans. Le montant plus élevé au début sert à absorber une partie des coûts de garde, de couches, de matériel et de la baisse de disponibilité des parents. Une version plus fine pourrait distinguer petite enfance, primaire et adolescence sans créer de dossier supplémentaire : l'âge est déjà connu de l'administration.</w:t>
      </w:r>
    </w:p>
    <w:p>
      <w:pPr>
        <w:pStyle w:val="Heading2"/>
        <w:keepNext/>
      </w:pPr>
      <w:r>
        <w:t>3.3 Handicap</w:t>
      </w:r>
    </w:p>
    <w:p>
      <w:r>
        <w:t>Le supplément devrait dépendre du niveau d'incapacité et des besoins, pas du revenu du foyer. La cible proposée est autour de +80 % net dans les situations empêchant réellement de travailler. Un niveau supplémentaire peut être nécessaire lorsque les besoins d'aide humaine sont lourds. Si le supplément est lui-même imposé, son montant brut doit être calibré pour conserver la cible nette.</w:t>
      </w:r>
    </w:p>
    <w:p>
      <w:pPr>
        <w:pStyle w:val="Heading2"/>
        <w:keepNext/>
      </w:pPr>
      <w:r>
        <w:t>3.4 Retraite et chômage</w:t>
      </w:r>
    </w:p>
    <w:p>
      <w:r>
        <w:t>Le revenu universel doit être le premier étage, pas un montant versé en plus de tout le reste. Exemple de principe : une personne qui a acquis 1 700 € de pension conserverait 1 200 € de revenu universel et 500 € de pension contributive. Pour le chômage, le socle resterait garanti et un complément temporaire lié à l'ancien salaire pourrait subsister. Les droits déjà acquis doivent être protégés pendant la transition.</w:t>
      </w:r>
    </w:p>
    <w:p>
      <w:pPr>
        <w:pStyle w:val="Heading2"/>
        <w:keepNext/>
      </w:pPr>
      <w:r>
        <w:t>3.5 Santé et services publics</w:t>
      </w:r>
    </w:p>
    <w:p>
      <w:r>
        <w:t>Le revenu universel n'a pas vocation à remplacer l'Assurance maladie, l'école, les hôpitaux, les crèches publiques, l'aide humaine liée au handicap ou les services sociaux. L'objectif est de simplifier le revenu monétaire, pas de privatiser les services collectifs.</w:t>
      </w:r>
    </w:p>
    <w:p>
      <w:pPr>
        <w:pStyle w:val="Heading1"/>
        <w:keepNext/>
      </w:pPr>
      <w:r>
        <w:t>4. Première simulation : ordres de grandeur</w:t>
      </w:r>
    </w:p>
    <w:p>
      <w:r>
        <w:t>La France compte environ 69,1 millions d'habitants au 1er janvier 2026. Pour un premier calcul, on peut retenir environ 55 millions d'adultes, 3,5 millions d'enfants de moins de 5 ans et environ 10,6 millions de 5 à 17 ans. Ces valeurs suffisent pour tester la taille du mécanisme, pas pour écrire une loi.</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3324"/>
        <w:gridCol w:w="3324"/>
        <w:gridCol w:w="3324"/>
      </w:tblGrid>
      <w:tr>
        <w:trPr>
          <w:tblHeader w:val="true"/>
        </w:trPr>
        <w:tc>
          <w:tcPr>
            <w:tcW w:type="dxa" w:w="2324"/>
            <w:shd w:fill="EAF0F5"/>
            <w:tcMar>
              <w:top w:w="80" w:type="dxa"/>
              <w:start w:w="90" w:type="dxa"/>
              <w:bottom w:w="80" w:type="dxa"/>
              <w:end w:w="90" w:type="dxa"/>
            </w:tcMar>
            <w:vAlign w:val="center"/>
          </w:tcPr>
          <w:p>
            <w:pPr>
              <w:spacing w:after="0"/>
            </w:pPr>
            <w:r>
              <w:rPr>
                <w:rFonts w:ascii="Aptos" w:hAnsi="Aptos"/>
                <w:b/>
                <w:sz w:val="19"/>
              </w:rPr>
              <w:t>Bloc</w:t>
            </w:r>
          </w:p>
        </w:tc>
        <w:tc>
          <w:tcPr>
            <w:tcW w:type="dxa" w:w="4139"/>
            <w:shd w:fill="EAF0F5"/>
            <w:tcMar>
              <w:top w:w="80" w:type="dxa"/>
              <w:start w:w="90" w:type="dxa"/>
              <w:bottom w:w="80" w:type="dxa"/>
              <w:end w:w="90" w:type="dxa"/>
            </w:tcMar>
            <w:vAlign w:val="center"/>
          </w:tcPr>
          <w:p>
            <w:pPr>
              <w:spacing w:after="0"/>
            </w:pPr>
            <w:r>
              <w:rPr>
                <w:rFonts w:ascii="Aptos" w:hAnsi="Aptos"/>
                <w:b/>
                <w:sz w:val="19"/>
              </w:rPr>
              <w:t>Hypothèse</w:t>
            </w:r>
          </w:p>
        </w:tc>
        <w:tc>
          <w:tcPr>
            <w:tcW w:type="dxa" w:w="2665"/>
            <w:shd w:fill="EAF0F5"/>
            <w:tcMar>
              <w:top w:w="80" w:type="dxa"/>
              <w:start w:w="90" w:type="dxa"/>
              <w:bottom w:w="80" w:type="dxa"/>
              <w:end w:w="90" w:type="dxa"/>
            </w:tcMar>
            <w:vAlign w:val="center"/>
          </w:tcPr>
          <w:p>
            <w:pPr>
              <w:spacing w:after="0"/>
            </w:pPr>
            <w:r>
              <w:rPr>
                <w:rFonts w:ascii="Aptos" w:hAnsi="Aptos"/>
                <w:b/>
                <w:sz w:val="19"/>
              </w:rPr>
              <w:t>Coût brut annuel</w:t>
            </w:r>
          </w:p>
        </w:tc>
      </w:tr>
      <w:tr>
        <w:tc>
          <w:tcPr>
            <w:tcW w:type="dxa" w:w="2324"/>
            <w:tcMar>
              <w:top w:w="80" w:type="dxa"/>
              <w:start w:w="90" w:type="dxa"/>
              <w:bottom w:w="80" w:type="dxa"/>
              <w:end w:w="90" w:type="dxa"/>
            </w:tcMar>
            <w:vAlign w:val="center"/>
          </w:tcPr>
          <w:p>
            <w:pPr>
              <w:spacing w:after="0"/>
            </w:pPr>
            <w:r>
              <w:rPr>
                <w:rFonts w:ascii="Aptos" w:hAnsi="Aptos"/>
                <w:sz w:val="18"/>
              </w:rPr>
              <w:t>Adultes</w:t>
            </w:r>
          </w:p>
        </w:tc>
        <w:tc>
          <w:tcPr>
            <w:tcW w:type="dxa" w:w="4139"/>
            <w:tcMar>
              <w:top w:w="80" w:type="dxa"/>
              <w:start w:w="90" w:type="dxa"/>
              <w:bottom w:w="80" w:type="dxa"/>
              <w:end w:w="90" w:type="dxa"/>
            </w:tcMar>
            <w:vAlign w:val="center"/>
          </w:tcPr>
          <w:p>
            <w:pPr>
              <w:spacing w:after="0"/>
            </w:pPr>
            <w:r>
              <w:rPr>
                <w:rFonts w:ascii="Aptos" w:hAnsi="Aptos"/>
                <w:sz w:val="18"/>
              </w:rPr>
              <w:t>55,0 M x 14 400 €</w:t>
            </w:r>
          </w:p>
        </w:tc>
        <w:tc>
          <w:tcPr>
            <w:tcW w:type="dxa" w:w="2665"/>
            <w:tcMar>
              <w:top w:w="80" w:type="dxa"/>
              <w:start w:w="90" w:type="dxa"/>
              <w:bottom w:w="80" w:type="dxa"/>
              <w:end w:w="90" w:type="dxa"/>
            </w:tcMar>
            <w:vAlign w:val="center"/>
          </w:tcPr>
          <w:p>
            <w:pPr>
              <w:spacing w:after="0"/>
            </w:pPr>
            <w:r>
              <w:rPr>
                <w:rFonts w:ascii="Aptos" w:hAnsi="Aptos"/>
                <w:sz w:val="18"/>
              </w:rPr>
              <w:t>792 Md€</w:t>
            </w:r>
          </w:p>
        </w:tc>
      </w:tr>
      <w:tr>
        <w:tc>
          <w:tcPr>
            <w:tcW w:type="dxa" w:w="2324"/>
            <w:tcMar>
              <w:top w:w="80" w:type="dxa"/>
              <w:start w:w="90" w:type="dxa"/>
              <w:bottom w:w="80" w:type="dxa"/>
              <w:end w:w="90" w:type="dxa"/>
            </w:tcMar>
            <w:shd w:fill="F8FAFC"/>
            <w:vAlign w:val="center"/>
          </w:tcPr>
          <w:p>
            <w:pPr>
              <w:spacing w:after="0"/>
            </w:pPr>
            <w:r>
              <w:rPr>
                <w:rFonts w:ascii="Aptos" w:hAnsi="Aptos"/>
                <w:sz w:val="18"/>
              </w:rPr>
              <w:t>Enfants 0-4 ans</w:t>
            </w:r>
          </w:p>
        </w:tc>
        <w:tc>
          <w:tcPr>
            <w:tcW w:type="dxa" w:w="4139"/>
            <w:tcMar>
              <w:top w:w="80" w:type="dxa"/>
              <w:start w:w="90" w:type="dxa"/>
              <w:bottom w:w="80" w:type="dxa"/>
              <w:end w:w="90" w:type="dxa"/>
            </w:tcMar>
            <w:shd w:fill="F8FAFC"/>
            <w:vAlign w:val="center"/>
          </w:tcPr>
          <w:p>
            <w:pPr>
              <w:spacing w:after="0"/>
            </w:pPr>
            <w:r>
              <w:rPr>
                <w:rFonts w:ascii="Aptos" w:hAnsi="Aptos"/>
                <w:sz w:val="18"/>
              </w:rPr>
              <w:t>3,5 M x 7 200 €</w:t>
            </w:r>
          </w:p>
        </w:tc>
        <w:tc>
          <w:tcPr>
            <w:tcW w:type="dxa" w:w="2665"/>
            <w:tcMar>
              <w:top w:w="80" w:type="dxa"/>
              <w:start w:w="90" w:type="dxa"/>
              <w:bottom w:w="80" w:type="dxa"/>
              <w:end w:w="90" w:type="dxa"/>
            </w:tcMar>
            <w:shd w:fill="F8FAFC"/>
            <w:vAlign w:val="center"/>
          </w:tcPr>
          <w:p>
            <w:pPr>
              <w:spacing w:after="0"/>
            </w:pPr>
            <w:r>
              <w:rPr>
                <w:rFonts w:ascii="Aptos" w:hAnsi="Aptos"/>
                <w:sz w:val="18"/>
              </w:rPr>
              <w:t>25,2 Md€</w:t>
            </w:r>
          </w:p>
        </w:tc>
      </w:tr>
      <w:tr>
        <w:tc>
          <w:tcPr>
            <w:tcW w:type="dxa" w:w="2324"/>
            <w:tcMar>
              <w:top w:w="80" w:type="dxa"/>
              <w:start w:w="90" w:type="dxa"/>
              <w:bottom w:w="80" w:type="dxa"/>
              <w:end w:w="90" w:type="dxa"/>
            </w:tcMar>
            <w:vAlign w:val="center"/>
          </w:tcPr>
          <w:p>
            <w:pPr>
              <w:spacing w:after="0"/>
            </w:pPr>
            <w:r>
              <w:rPr>
                <w:rFonts w:ascii="Aptos" w:hAnsi="Aptos"/>
                <w:sz w:val="18"/>
              </w:rPr>
              <w:t>Enfants 5-17 ans</w:t>
            </w:r>
          </w:p>
        </w:tc>
        <w:tc>
          <w:tcPr>
            <w:tcW w:type="dxa" w:w="4139"/>
            <w:tcMar>
              <w:top w:w="80" w:type="dxa"/>
              <w:start w:w="90" w:type="dxa"/>
              <w:bottom w:w="80" w:type="dxa"/>
              <w:end w:w="90" w:type="dxa"/>
            </w:tcMar>
            <w:vAlign w:val="center"/>
          </w:tcPr>
          <w:p>
            <w:pPr>
              <w:spacing w:after="0"/>
            </w:pPr>
            <w:r>
              <w:rPr>
                <w:rFonts w:ascii="Aptos" w:hAnsi="Aptos"/>
                <w:sz w:val="18"/>
              </w:rPr>
              <w:t>10,6 M x 3 600 €</w:t>
            </w:r>
          </w:p>
        </w:tc>
        <w:tc>
          <w:tcPr>
            <w:tcW w:type="dxa" w:w="2665"/>
            <w:tcMar>
              <w:top w:w="80" w:type="dxa"/>
              <w:start w:w="90" w:type="dxa"/>
              <w:bottom w:w="80" w:type="dxa"/>
              <w:end w:w="90" w:type="dxa"/>
            </w:tcMar>
            <w:vAlign w:val="center"/>
          </w:tcPr>
          <w:p>
            <w:pPr>
              <w:spacing w:after="0"/>
            </w:pPr>
            <w:r>
              <w:rPr>
                <w:rFonts w:ascii="Aptos" w:hAnsi="Aptos"/>
                <w:sz w:val="18"/>
              </w:rPr>
              <w:t>38,2 Md€</w:t>
            </w:r>
          </w:p>
        </w:tc>
      </w:tr>
      <w:tr>
        <w:tc>
          <w:tcPr>
            <w:tcW w:type="dxa" w:w="2324"/>
            <w:tcMar>
              <w:top w:w="80" w:type="dxa"/>
              <w:start w:w="90" w:type="dxa"/>
              <w:bottom w:w="80" w:type="dxa"/>
              <w:end w:w="90" w:type="dxa"/>
            </w:tcMar>
            <w:shd w:fill="F8FAFC"/>
            <w:vAlign w:val="center"/>
          </w:tcPr>
          <w:p>
            <w:pPr>
              <w:spacing w:after="0"/>
            </w:pPr>
            <w:r>
              <w:rPr>
                <w:rFonts w:ascii="Aptos" w:hAnsi="Aptos"/>
                <w:sz w:val="18"/>
              </w:rPr>
              <w:t>Sous-total</w:t>
            </w:r>
          </w:p>
        </w:tc>
        <w:tc>
          <w:tcPr>
            <w:tcW w:type="dxa" w:w="4139"/>
            <w:tcMar>
              <w:top w:w="80" w:type="dxa"/>
              <w:start w:w="90" w:type="dxa"/>
              <w:bottom w:w="80" w:type="dxa"/>
              <w:end w:w="90" w:type="dxa"/>
            </w:tcMar>
            <w:shd w:fill="F8FAFC"/>
            <w:vAlign w:val="center"/>
          </w:tcPr>
          <w:p>
            <w:pPr>
              <w:spacing w:after="0"/>
            </w:pPr>
            <w:r>
              <w:rPr>
                <w:rFonts w:ascii="Aptos" w:hAnsi="Aptos"/>
                <w:sz w:val="18"/>
              </w:rPr>
              <w:t>hors handicap</w:t>
            </w:r>
          </w:p>
        </w:tc>
        <w:tc>
          <w:tcPr>
            <w:tcW w:type="dxa" w:w="2665"/>
            <w:tcMar>
              <w:top w:w="80" w:type="dxa"/>
              <w:start w:w="90" w:type="dxa"/>
              <w:bottom w:w="80" w:type="dxa"/>
              <w:end w:w="90" w:type="dxa"/>
            </w:tcMar>
            <w:shd w:fill="F8FAFC"/>
            <w:vAlign w:val="center"/>
          </w:tcPr>
          <w:p>
            <w:pPr>
              <w:spacing w:after="0"/>
            </w:pPr>
            <w:r>
              <w:rPr>
                <w:rFonts w:ascii="Aptos" w:hAnsi="Aptos"/>
                <w:sz w:val="18"/>
              </w:rPr>
              <w:t>855,4 Md€</w:t>
            </w:r>
          </w:p>
        </w:tc>
      </w:tr>
      <w:tr>
        <w:tc>
          <w:tcPr>
            <w:tcW w:type="dxa" w:w="2324"/>
            <w:tcMar>
              <w:top w:w="80" w:type="dxa"/>
              <w:start w:w="90" w:type="dxa"/>
              <w:bottom w:w="80" w:type="dxa"/>
              <w:end w:w="90" w:type="dxa"/>
            </w:tcMar>
            <w:vAlign w:val="center"/>
          </w:tcPr>
          <w:p>
            <w:pPr>
              <w:spacing w:after="0"/>
            </w:pPr>
            <w:r>
              <w:rPr>
                <w:rFonts w:ascii="Aptos" w:hAnsi="Aptos"/>
                <w:sz w:val="18"/>
              </w:rPr>
              <w:t>Supplément handicap</w:t>
            </w:r>
          </w:p>
        </w:tc>
        <w:tc>
          <w:tcPr>
            <w:tcW w:type="dxa" w:w="4139"/>
            <w:tcMar>
              <w:top w:w="80" w:type="dxa"/>
              <w:start w:w="90" w:type="dxa"/>
              <w:bottom w:w="80" w:type="dxa"/>
              <w:end w:w="90" w:type="dxa"/>
            </w:tcMar>
            <w:vAlign w:val="center"/>
          </w:tcPr>
          <w:p>
            <w:pPr>
              <w:spacing w:after="0"/>
            </w:pPr>
            <w:r>
              <w:rPr>
                <w:rFonts w:ascii="Aptos" w:hAnsi="Aptos"/>
                <w:sz w:val="18"/>
              </w:rPr>
              <w:t>selon population et niveau retenus</w:t>
            </w:r>
          </w:p>
        </w:tc>
        <w:tc>
          <w:tcPr>
            <w:tcW w:type="dxa" w:w="2665"/>
            <w:tcMar>
              <w:top w:w="80" w:type="dxa"/>
              <w:start w:w="90" w:type="dxa"/>
              <w:bottom w:w="80" w:type="dxa"/>
              <w:end w:w="90" w:type="dxa"/>
            </w:tcMar>
            <w:vAlign w:val="center"/>
          </w:tcPr>
          <w:p>
            <w:pPr>
              <w:spacing w:after="0"/>
            </w:pPr>
            <w:r>
              <w:rPr>
                <w:rFonts w:ascii="Aptos" w:hAnsi="Aptos"/>
                <w:sz w:val="18"/>
              </w:rPr>
              <w:t>environ 7 à 16 Md€</w:t>
            </w:r>
          </w:p>
        </w:tc>
      </w:tr>
    </w:tbl>
    <w:p>
      <w:pPr>
        <w:spacing w:after="20"/>
      </w:pPr>
    </w:p>
    <w:p>
      <w:r>
        <w:t>Le coût brut dépasse donc 860 Md€ par an. Ce chiffre ne doit pas être lu comme une dépense nouvelle de 860 Md€. Une partie remplace des prestations existantes, une partie devient le premier étage des retraites et du chômage, et une partie revient immédiatement via le nouveau prélèvement fiscal.</w:t>
      </w:r>
    </w:p>
    <w:p>
      <w:pPr>
        <w:pStyle w:val="Heading2"/>
        <w:keepNext/>
      </w:pPr>
      <w:r>
        <w:t>4.1 Quelques flux actuels à mettre en regard</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4986"/>
        <w:gridCol w:w="4986"/>
      </w:tblGrid>
      <w:tr>
        <w:trPr>
          <w:tblHeader w:val="true"/>
        </w:trPr>
        <w:tc>
          <w:tcPr>
            <w:tcW w:type="dxa" w:w="6123"/>
            <w:shd w:fill="EAF0F5"/>
            <w:tcMar>
              <w:top w:w="80" w:type="dxa"/>
              <w:start w:w="90" w:type="dxa"/>
              <w:bottom w:w="80" w:type="dxa"/>
              <w:end w:w="90" w:type="dxa"/>
            </w:tcMar>
            <w:vAlign w:val="center"/>
          </w:tcPr>
          <w:p>
            <w:pPr>
              <w:spacing w:after="0"/>
            </w:pPr>
            <w:r>
              <w:rPr>
                <w:rFonts w:ascii="Aptos" w:hAnsi="Aptos"/>
                <w:b/>
                <w:sz w:val="19"/>
              </w:rPr>
              <w:t>Flux actuel</w:t>
            </w:r>
          </w:p>
        </w:tc>
        <w:tc>
          <w:tcPr>
            <w:tcW w:type="dxa" w:w="3005"/>
            <w:shd w:fill="EAF0F5"/>
            <w:tcMar>
              <w:top w:w="80" w:type="dxa"/>
              <w:start w:w="90" w:type="dxa"/>
              <w:bottom w:w="80" w:type="dxa"/>
              <w:end w:w="90" w:type="dxa"/>
            </w:tcMar>
            <w:vAlign w:val="center"/>
          </w:tcPr>
          <w:p>
            <w:pPr>
              <w:spacing w:after="0"/>
            </w:pPr>
            <w:r>
              <w:rPr>
                <w:rFonts w:ascii="Aptos" w:hAnsi="Aptos"/>
                <w:b/>
                <w:sz w:val="19"/>
              </w:rPr>
              <w:t>Ordre de grandeur récent</w:t>
            </w:r>
          </w:p>
        </w:tc>
      </w:tr>
      <w:tr>
        <w:tc>
          <w:tcPr>
            <w:tcW w:type="dxa" w:w="6123"/>
            <w:tcMar>
              <w:top w:w="80" w:type="dxa"/>
              <w:start w:w="90" w:type="dxa"/>
              <w:bottom w:w="80" w:type="dxa"/>
              <w:end w:w="90" w:type="dxa"/>
            </w:tcMar>
            <w:vAlign w:val="center"/>
          </w:tcPr>
          <w:p>
            <w:pPr>
              <w:spacing w:after="0"/>
            </w:pPr>
            <w:r>
              <w:rPr>
                <w:rFonts w:ascii="Aptos" w:hAnsi="Aptos"/>
                <w:sz w:val="18"/>
              </w:rPr>
              <w:t>Minima sociaux, 2024</w:t>
            </w:r>
          </w:p>
        </w:tc>
        <w:tc>
          <w:tcPr>
            <w:tcW w:type="dxa" w:w="3005"/>
            <w:tcMar>
              <w:top w:w="80" w:type="dxa"/>
              <w:start w:w="90" w:type="dxa"/>
              <w:bottom w:w="80" w:type="dxa"/>
              <w:end w:w="90" w:type="dxa"/>
            </w:tcMar>
            <w:vAlign w:val="center"/>
          </w:tcPr>
          <w:p>
            <w:pPr>
              <w:spacing w:after="0"/>
            </w:pPr>
            <w:r>
              <w:rPr>
                <w:rFonts w:ascii="Aptos" w:hAnsi="Aptos"/>
                <w:sz w:val="18"/>
              </w:rPr>
              <w:t>33,3 Md€</w:t>
            </w:r>
          </w:p>
        </w:tc>
      </w:tr>
      <w:tr>
        <w:tc>
          <w:tcPr>
            <w:tcW w:type="dxa" w:w="6123"/>
            <w:tcMar>
              <w:top w:w="80" w:type="dxa"/>
              <w:start w:w="90" w:type="dxa"/>
              <w:bottom w:w="80" w:type="dxa"/>
              <w:end w:w="90" w:type="dxa"/>
            </w:tcMar>
            <w:shd w:fill="F8FAFC"/>
            <w:vAlign w:val="center"/>
          </w:tcPr>
          <w:p>
            <w:pPr>
              <w:spacing w:after="0"/>
            </w:pPr>
            <w:r>
              <w:rPr>
                <w:rFonts w:ascii="Aptos" w:hAnsi="Aptos"/>
                <w:sz w:val="18"/>
              </w:rPr>
              <w:t>Prime d'activité, 2024</w:t>
            </w:r>
          </w:p>
        </w:tc>
        <w:tc>
          <w:tcPr>
            <w:tcW w:type="dxa" w:w="3005"/>
            <w:tcMar>
              <w:top w:w="80" w:type="dxa"/>
              <w:start w:w="90" w:type="dxa"/>
              <w:bottom w:w="80" w:type="dxa"/>
              <w:end w:w="90" w:type="dxa"/>
            </w:tcMar>
            <w:shd w:fill="F8FAFC"/>
            <w:vAlign w:val="center"/>
          </w:tcPr>
          <w:p>
            <w:pPr>
              <w:spacing w:after="0"/>
            </w:pPr>
            <w:r>
              <w:rPr>
                <w:rFonts w:ascii="Aptos" w:hAnsi="Aptos"/>
                <w:sz w:val="18"/>
              </w:rPr>
              <w:t>10,3 Md€</w:t>
            </w:r>
          </w:p>
        </w:tc>
      </w:tr>
      <w:tr>
        <w:tc>
          <w:tcPr>
            <w:tcW w:type="dxa" w:w="6123"/>
            <w:tcMar>
              <w:top w:w="80" w:type="dxa"/>
              <w:start w:w="90" w:type="dxa"/>
              <w:bottom w:w="80" w:type="dxa"/>
              <w:end w:w="90" w:type="dxa"/>
            </w:tcMar>
            <w:vAlign w:val="center"/>
          </w:tcPr>
          <w:p>
            <w:pPr>
              <w:spacing w:after="0"/>
            </w:pPr>
            <w:r>
              <w:rPr>
                <w:rFonts w:ascii="Aptos" w:hAnsi="Aptos"/>
                <w:sz w:val="18"/>
              </w:rPr>
              <w:t>Aides au logement de la branche Famille, 2024</w:t>
            </w:r>
          </w:p>
        </w:tc>
        <w:tc>
          <w:tcPr>
            <w:tcW w:type="dxa" w:w="3005"/>
            <w:tcMar>
              <w:top w:w="80" w:type="dxa"/>
              <w:start w:w="90" w:type="dxa"/>
              <w:bottom w:w="80" w:type="dxa"/>
              <w:end w:w="90" w:type="dxa"/>
            </w:tcMar>
            <w:vAlign w:val="center"/>
          </w:tcPr>
          <w:p>
            <w:pPr>
              <w:spacing w:after="0"/>
            </w:pPr>
            <w:r>
              <w:rPr>
                <w:rFonts w:ascii="Aptos" w:hAnsi="Aptos"/>
                <w:sz w:val="18"/>
              </w:rPr>
              <w:t>15,7 Md€</w:t>
            </w:r>
          </w:p>
        </w:tc>
      </w:tr>
      <w:tr>
        <w:tc>
          <w:tcPr>
            <w:tcW w:type="dxa" w:w="6123"/>
            <w:tcMar>
              <w:top w:w="80" w:type="dxa"/>
              <w:start w:w="90" w:type="dxa"/>
              <w:bottom w:w="80" w:type="dxa"/>
              <w:end w:w="90" w:type="dxa"/>
            </w:tcMar>
            <w:shd w:fill="F8FAFC"/>
            <w:vAlign w:val="center"/>
          </w:tcPr>
          <w:p>
            <w:pPr>
              <w:spacing w:after="0"/>
            </w:pPr>
            <w:r>
              <w:rPr>
                <w:rFonts w:ascii="Aptos" w:hAnsi="Aptos"/>
                <w:sz w:val="18"/>
              </w:rPr>
              <w:t>Prestations d'entretien et d'éducation de l'enfant, 2024</w:t>
            </w:r>
          </w:p>
        </w:tc>
        <w:tc>
          <w:tcPr>
            <w:tcW w:type="dxa" w:w="3005"/>
            <w:tcMar>
              <w:top w:w="80" w:type="dxa"/>
              <w:start w:w="90" w:type="dxa"/>
              <w:bottom w:w="80" w:type="dxa"/>
              <w:end w:w="90" w:type="dxa"/>
            </w:tcMar>
            <w:shd w:fill="F8FAFC"/>
            <w:vAlign w:val="center"/>
          </w:tcPr>
          <w:p>
            <w:pPr>
              <w:spacing w:after="0"/>
            </w:pPr>
            <w:r>
              <w:rPr>
                <w:rFonts w:ascii="Aptos" w:hAnsi="Aptos"/>
                <w:sz w:val="18"/>
              </w:rPr>
              <w:t>24,5 Md€</w:t>
            </w:r>
          </w:p>
        </w:tc>
      </w:tr>
      <w:tr>
        <w:tc>
          <w:tcPr>
            <w:tcW w:type="dxa" w:w="6123"/>
            <w:tcMar>
              <w:top w:w="80" w:type="dxa"/>
              <w:start w:w="90" w:type="dxa"/>
              <w:bottom w:w="80" w:type="dxa"/>
              <w:end w:w="90" w:type="dxa"/>
            </w:tcMar>
            <w:vAlign w:val="center"/>
          </w:tcPr>
          <w:p>
            <w:pPr>
              <w:spacing w:after="0"/>
            </w:pPr>
            <w:r>
              <w:rPr>
                <w:rFonts w:ascii="Aptos" w:hAnsi="Aptos"/>
                <w:sz w:val="18"/>
              </w:rPr>
              <w:t>Pensions de droit direct, 2024</w:t>
            </w:r>
          </w:p>
        </w:tc>
        <w:tc>
          <w:tcPr>
            <w:tcW w:type="dxa" w:w="3005"/>
            <w:tcMar>
              <w:top w:w="80" w:type="dxa"/>
              <w:start w:w="90" w:type="dxa"/>
              <w:bottom w:w="80" w:type="dxa"/>
              <w:end w:w="90" w:type="dxa"/>
            </w:tcMar>
            <w:vAlign w:val="center"/>
          </w:tcPr>
          <w:p>
            <w:pPr>
              <w:spacing w:after="0"/>
            </w:pPr>
            <w:r>
              <w:rPr>
                <w:rFonts w:ascii="Aptos" w:hAnsi="Aptos"/>
                <w:sz w:val="18"/>
              </w:rPr>
              <w:t>359,7 Md€</w:t>
            </w:r>
          </w:p>
        </w:tc>
      </w:tr>
      <w:tr>
        <w:tc>
          <w:tcPr>
            <w:tcW w:type="dxa" w:w="6123"/>
            <w:tcMar>
              <w:top w:w="80" w:type="dxa"/>
              <w:start w:w="90" w:type="dxa"/>
              <w:bottom w:w="80" w:type="dxa"/>
              <w:end w:w="90" w:type="dxa"/>
            </w:tcMar>
            <w:shd w:fill="F8FAFC"/>
            <w:vAlign w:val="center"/>
          </w:tcPr>
          <w:p>
            <w:pPr>
              <w:spacing w:after="0"/>
            </w:pPr>
            <w:r>
              <w:rPr>
                <w:rFonts w:ascii="Aptos" w:hAnsi="Aptos"/>
                <w:sz w:val="18"/>
              </w:rPr>
              <w:t>Allocation d'aide au retour à l'emploi (ARE), 2024</w:t>
            </w:r>
          </w:p>
        </w:tc>
        <w:tc>
          <w:tcPr>
            <w:tcW w:type="dxa" w:w="3005"/>
            <w:tcMar>
              <w:top w:w="80" w:type="dxa"/>
              <w:start w:w="90" w:type="dxa"/>
              <w:bottom w:w="80" w:type="dxa"/>
              <w:end w:w="90" w:type="dxa"/>
            </w:tcMar>
            <w:shd w:fill="F8FAFC"/>
            <w:vAlign w:val="center"/>
          </w:tcPr>
          <w:p>
            <w:pPr>
              <w:spacing w:after="0"/>
            </w:pPr>
            <w:r>
              <w:rPr>
                <w:rFonts w:ascii="Aptos" w:hAnsi="Aptos"/>
                <w:sz w:val="18"/>
              </w:rPr>
              <w:t>32,9 Md€</w:t>
            </w:r>
          </w:p>
        </w:tc>
      </w:tr>
      <w:tr>
        <w:tc>
          <w:tcPr>
            <w:tcW w:type="dxa" w:w="6123"/>
            <w:tcMar>
              <w:top w:w="80" w:type="dxa"/>
              <w:start w:w="90" w:type="dxa"/>
              <w:bottom w:w="80" w:type="dxa"/>
              <w:end w:w="90" w:type="dxa"/>
            </w:tcMar>
            <w:vAlign w:val="center"/>
          </w:tcPr>
          <w:p>
            <w:pPr>
              <w:spacing w:after="0"/>
            </w:pPr>
            <w:r>
              <w:rPr>
                <w:rFonts w:ascii="Aptos" w:hAnsi="Aptos"/>
                <w:sz w:val="18"/>
              </w:rPr>
              <w:t>Impôt sur le revenu sur les revenus 2024</w:t>
            </w:r>
          </w:p>
        </w:tc>
        <w:tc>
          <w:tcPr>
            <w:tcW w:type="dxa" w:w="3005"/>
            <w:tcMar>
              <w:top w:w="80" w:type="dxa"/>
              <w:start w:w="90" w:type="dxa"/>
              <w:bottom w:w="80" w:type="dxa"/>
              <w:end w:w="90" w:type="dxa"/>
            </w:tcMar>
            <w:vAlign w:val="center"/>
          </w:tcPr>
          <w:p>
            <w:pPr>
              <w:spacing w:after="0"/>
            </w:pPr>
            <w:r>
              <w:rPr>
                <w:rFonts w:ascii="Aptos" w:hAnsi="Aptos"/>
                <w:sz w:val="18"/>
              </w:rPr>
              <w:t>92 Md€</w:t>
            </w:r>
          </w:p>
        </w:tc>
      </w:tr>
      <w:tr>
        <w:tc>
          <w:tcPr>
            <w:tcW w:type="dxa" w:w="6123"/>
            <w:tcMar>
              <w:top w:w="80" w:type="dxa"/>
              <w:start w:w="90" w:type="dxa"/>
              <w:bottom w:w="80" w:type="dxa"/>
              <w:end w:w="90" w:type="dxa"/>
            </w:tcMar>
            <w:shd w:fill="F8FAFC"/>
            <w:vAlign w:val="center"/>
          </w:tcPr>
          <w:p>
            <w:pPr>
              <w:spacing w:after="0"/>
            </w:pPr>
            <w:r>
              <w:rPr>
                <w:rFonts w:ascii="Aptos" w:hAnsi="Aptos"/>
                <w:sz w:val="18"/>
              </w:rPr>
              <w:t>Revenus nets déclarés, 2024</w:t>
            </w:r>
          </w:p>
        </w:tc>
        <w:tc>
          <w:tcPr>
            <w:tcW w:type="dxa" w:w="3005"/>
            <w:tcMar>
              <w:top w:w="80" w:type="dxa"/>
              <w:start w:w="90" w:type="dxa"/>
              <w:bottom w:w="80" w:type="dxa"/>
              <w:end w:w="90" w:type="dxa"/>
            </w:tcMar>
            <w:shd w:fill="F8FAFC"/>
            <w:vAlign w:val="center"/>
          </w:tcPr>
          <w:p>
            <w:pPr>
              <w:spacing w:after="0"/>
            </w:pPr>
            <w:r>
              <w:rPr>
                <w:rFonts w:ascii="Aptos" w:hAnsi="Aptos"/>
                <w:sz w:val="18"/>
              </w:rPr>
              <w:t>1 541 Md€</w:t>
            </w:r>
          </w:p>
        </w:tc>
      </w:tr>
    </w:tbl>
    <w:p>
      <w:pPr>
        <w:spacing w:after="20"/>
      </w:pPr>
    </w:p>
    <w:p>
      <w:r>
        <w:t>Ces lignes ne peuvent pas être simplement additionnées ou soustraites. Certaines prestations se recouvrent, certaines doivent rester, et une pension n'est pas une aide. Le vrai calcul doit donc être fait personne par personne, avec un modèle de microsimulation.</w:t>
      </w:r>
    </w:p>
    <w:p>
      <w:pPr>
        <w:pStyle w:val="Heading2"/>
        <w:keepNext/>
      </w:pPr>
      <w:r>
        <w:t>4.2 Le taux de 50 % comme scénario de test</w:t>
      </w:r>
    </w:p>
    <w:p>
      <w:r>
        <w:t xml:space="preserve">Pour comprendre le mécanisme, on peut tester un prélèvement personnel uniforme de 50 % sur les revenus gagnés. </w:t>
      </w:r>
      <w:r>
        <w:rPr>
          <w:b/>
        </w:rPr>
        <w:t>Ce n'est pas le taux proposé comme définitif.</w:t>
      </w:r>
      <w:r>
        <w:t xml:space="preserve"> Il sert seulement de repère : chaque euro gagné laisse 50 centimes de revenu disponible en plus du socle de 1 200 €.</w:t>
      </w:r>
    </w:p>
    <w:tbl>
      <w:tblPr>
        <w:tblW w:type="auto" w:w="0"/>
        <w:jc w:val="center"/>
        <w:tblLayout w:type="fixed"/>
        <w:tblLook w:firstColumn="1" w:firstRow="1" w:lastColumn="0" w:lastRow="0" w:noHBand="0" w:noVBand="1" w:val="04A0"/>
        <w:tblBorders>
          <w:top w:val="single" w:sz="5" w:space="0" w:color="B7C7D6"/>
          <w:left w:val="single" w:sz="5" w:space="0" w:color="B7C7D6"/>
          <w:bottom w:val="single" w:sz="5" w:space="0" w:color="B7C7D6"/>
          <w:right w:val="single" w:sz="5" w:space="0" w:color="B7C7D6"/>
          <w:insideH w:val="single" w:sz="5" w:space="0" w:color="B7C7D6"/>
          <w:insideV w:val="single" w:sz="5" w:space="0" w:color="B7C7D6"/>
        </w:tblBorders>
      </w:tblPr>
      <w:tblGrid>
        <w:gridCol w:w="9241"/>
      </w:tblGrid>
      <w:tr>
        <w:tc>
          <w:tcPr>
            <w:tcW w:type="dxa" w:w="9972"/>
            <w:shd w:fill="F4F7FA"/>
            <w:tcMar>
              <w:top w:w="120" w:type="dxa"/>
              <w:start w:w="140" w:type="dxa"/>
              <w:bottom w:w="120" w:type="dxa"/>
              <w:end w:w="140" w:type="dxa"/>
            </w:tcMar>
          </w:tcPr>
          <w:p>
            <w:pPr>
              <w:spacing w:after="60"/>
            </w:pPr>
            <w:r>
              <w:rPr>
                <w:rFonts w:ascii="Aptos" w:hAnsi="Aptos"/>
                <w:b/>
                <w:sz w:val="21"/>
              </w:rPr>
              <w:t>Important sur ce scénario</w:t>
            </w:r>
          </w:p>
          <w:p>
            <w:pPr>
              <w:spacing w:after="0"/>
            </w:pPr>
            <w:r>
              <w:rPr>
                <w:rFonts w:ascii="Aptos" w:hAnsi="Aptos"/>
                <w:sz w:val="20"/>
              </w:rPr>
              <w:t>Le prélèvement de 50 % est supposé remplacer au moins l'impôt personnel sur le revenu et les prélèvements que la réforme déciderait d'intégrer. Il ne doit pas être lu comme 50 % ajoutés par-dessus toute la fiscalité actuelle. Les cotisations contributives conservées pour la santé, la retraite ou le chômage doivent être traitées séparément dans la microsimulation.</w:t>
            </w:r>
          </w:p>
        </w:tc>
      </w:tr>
    </w:tbl>
    <w:p>
      <w:pPr>
        <w:spacing w:after="20"/>
      </w:pP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2493"/>
        <w:gridCol w:w="2493"/>
        <w:gridCol w:w="2493"/>
        <w:gridCol w:w="2493"/>
      </w:tblGrid>
      <w:tr>
        <w:trPr>
          <w:tblHeader w:val="true"/>
        </w:trPr>
        <w:tc>
          <w:tcPr>
            <w:tcW w:type="dxa" w:w="2268"/>
            <w:shd w:fill="EAF0F5"/>
            <w:tcMar>
              <w:top w:w="80" w:type="dxa"/>
              <w:start w:w="90" w:type="dxa"/>
              <w:bottom w:w="80" w:type="dxa"/>
              <w:end w:w="90" w:type="dxa"/>
            </w:tcMar>
            <w:vAlign w:val="center"/>
          </w:tcPr>
          <w:p>
            <w:pPr>
              <w:spacing w:after="0"/>
            </w:pPr>
            <w:r>
              <w:rPr>
                <w:rFonts w:ascii="Aptos" w:hAnsi="Aptos"/>
                <w:b/>
                <w:sz w:val="19"/>
              </w:rPr>
              <w:t>Revenu mensuel gagné</w:t>
            </w:r>
          </w:p>
        </w:tc>
        <w:tc>
          <w:tcPr>
            <w:tcW w:type="dxa" w:w="2268"/>
            <w:shd w:fill="EAF0F5"/>
            <w:tcMar>
              <w:top w:w="80" w:type="dxa"/>
              <w:start w:w="90" w:type="dxa"/>
              <w:bottom w:w="80" w:type="dxa"/>
              <w:end w:w="90" w:type="dxa"/>
            </w:tcMar>
            <w:vAlign w:val="center"/>
          </w:tcPr>
          <w:p>
            <w:pPr>
              <w:spacing w:after="0"/>
            </w:pPr>
            <w:r>
              <w:rPr>
                <w:rFonts w:ascii="Aptos" w:hAnsi="Aptos"/>
                <w:b/>
                <w:sz w:val="19"/>
              </w:rPr>
              <w:t>Prélèvement 45 %</w:t>
            </w:r>
          </w:p>
        </w:tc>
        <w:tc>
          <w:tcPr>
            <w:tcW w:type="dxa" w:w="2268"/>
            <w:shd w:fill="EAF0F5"/>
            <w:tcMar>
              <w:top w:w="80" w:type="dxa"/>
              <w:start w:w="90" w:type="dxa"/>
              <w:bottom w:w="80" w:type="dxa"/>
              <w:end w:w="90" w:type="dxa"/>
            </w:tcMar>
            <w:vAlign w:val="center"/>
          </w:tcPr>
          <w:p>
            <w:pPr>
              <w:spacing w:after="0"/>
            </w:pPr>
            <w:r>
              <w:rPr>
                <w:rFonts w:ascii="Aptos" w:hAnsi="Aptos"/>
                <w:b/>
                <w:sz w:val="19"/>
              </w:rPr>
              <w:t>Prélèvement 50 %</w:t>
            </w:r>
          </w:p>
        </w:tc>
        <w:tc>
          <w:tcPr>
            <w:tcW w:type="dxa" w:w="2268"/>
            <w:shd w:fill="EAF0F5"/>
            <w:tcMar>
              <w:top w:w="80" w:type="dxa"/>
              <w:start w:w="90" w:type="dxa"/>
              <w:bottom w:w="80" w:type="dxa"/>
              <w:end w:w="90" w:type="dxa"/>
            </w:tcMar>
            <w:vAlign w:val="center"/>
          </w:tcPr>
          <w:p>
            <w:pPr>
              <w:spacing w:after="0"/>
            </w:pPr>
            <w:r>
              <w:rPr>
                <w:rFonts w:ascii="Aptos" w:hAnsi="Aptos"/>
                <w:b/>
                <w:sz w:val="19"/>
              </w:rPr>
              <w:t>Prélèvement 55 %</w:t>
            </w:r>
          </w:p>
        </w:tc>
      </w:tr>
      <w:tr>
        <w:tc>
          <w:tcPr>
            <w:tcW w:type="dxa" w:w="2268"/>
            <w:tcMar>
              <w:top w:w="80" w:type="dxa"/>
              <w:start w:w="90" w:type="dxa"/>
              <w:bottom w:w="80" w:type="dxa"/>
              <w:end w:w="90" w:type="dxa"/>
            </w:tcMar>
            <w:vAlign w:val="center"/>
          </w:tcPr>
          <w:p>
            <w:pPr>
              <w:spacing w:after="0"/>
            </w:pPr>
            <w:r>
              <w:rPr>
                <w:rFonts w:ascii="Aptos" w:hAnsi="Aptos"/>
                <w:sz w:val="18"/>
              </w:rPr>
              <w:t>0 €</w:t>
            </w:r>
          </w:p>
        </w:tc>
        <w:tc>
          <w:tcPr>
            <w:tcW w:type="dxa" w:w="2268"/>
            <w:tcMar>
              <w:top w:w="80" w:type="dxa"/>
              <w:start w:w="90" w:type="dxa"/>
              <w:bottom w:w="80" w:type="dxa"/>
              <w:end w:w="90" w:type="dxa"/>
            </w:tcMar>
            <w:vAlign w:val="center"/>
          </w:tcPr>
          <w:p>
            <w:pPr>
              <w:spacing w:after="0"/>
            </w:pPr>
            <w:r>
              <w:rPr>
                <w:rFonts w:ascii="Aptos" w:hAnsi="Aptos"/>
                <w:sz w:val="18"/>
              </w:rPr>
              <w:t>1 200 €</w:t>
            </w:r>
          </w:p>
        </w:tc>
        <w:tc>
          <w:tcPr>
            <w:tcW w:type="dxa" w:w="2268"/>
            <w:tcMar>
              <w:top w:w="80" w:type="dxa"/>
              <w:start w:w="90" w:type="dxa"/>
              <w:bottom w:w="80" w:type="dxa"/>
              <w:end w:w="90" w:type="dxa"/>
            </w:tcMar>
            <w:vAlign w:val="center"/>
          </w:tcPr>
          <w:p>
            <w:pPr>
              <w:spacing w:after="0"/>
            </w:pPr>
            <w:r>
              <w:rPr>
                <w:rFonts w:ascii="Aptos" w:hAnsi="Aptos"/>
                <w:sz w:val="18"/>
              </w:rPr>
              <w:t>1 200 €</w:t>
            </w:r>
          </w:p>
        </w:tc>
        <w:tc>
          <w:tcPr>
            <w:tcW w:type="dxa" w:w="2268"/>
            <w:tcMar>
              <w:top w:w="80" w:type="dxa"/>
              <w:start w:w="90" w:type="dxa"/>
              <w:bottom w:w="80" w:type="dxa"/>
              <w:end w:w="90" w:type="dxa"/>
            </w:tcMar>
            <w:vAlign w:val="center"/>
          </w:tcPr>
          <w:p>
            <w:pPr>
              <w:spacing w:after="0"/>
            </w:pPr>
            <w:r>
              <w:rPr>
                <w:rFonts w:ascii="Aptos" w:hAnsi="Aptos"/>
                <w:sz w:val="18"/>
              </w:rPr>
              <w:t>1 200 €</w:t>
            </w:r>
          </w:p>
        </w:tc>
      </w:tr>
      <w:tr>
        <w:tc>
          <w:tcPr>
            <w:tcW w:type="dxa" w:w="2268"/>
            <w:tcMar>
              <w:top w:w="80" w:type="dxa"/>
              <w:start w:w="90" w:type="dxa"/>
              <w:bottom w:w="80" w:type="dxa"/>
              <w:end w:w="90" w:type="dxa"/>
            </w:tcMar>
            <w:shd w:fill="F8FAFC"/>
            <w:vAlign w:val="center"/>
          </w:tcPr>
          <w:p>
            <w:pPr>
              <w:spacing w:after="0"/>
            </w:pPr>
            <w:r>
              <w:rPr>
                <w:rFonts w:ascii="Aptos" w:hAnsi="Aptos"/>
                <w:sz w:val="18"/>
              </w:rPr>
              <w:t>500 €</w:t>
            </w:r>
          </w:p>
        </w:tc>
        <w:tc>
          <w:tcPr>
            <w:tcW w:type="dxa" w:w="2268"/>
            <w:tcMar>
              <w:top w:w="80" w:type="dxa"/>
              <w:start w:w="90" w:type="dxa"/>
              <w:bottom w:w="80" w:type="dxa"/>
              <w:end w:w="90" w:type="dxa"/>
            </w:tcMar>
            <w:shd w:fill="F8FAFC"/>
            <w:vAlign w:val="center"/>
          </w:tcPr>
          <w:p>
            <w:pPr>
              <w:spacing w:after="0"/>
            </w:pPr>
            <w:r>
              <w:rPr>
                <w:rFonts w:ascii="Aptos" w:hAnsi="Aptos"/>
                <w:sz w:val="18"/>
              </w:rPr>
              <w:t>1 475 €</w:t>
            </w:r>
          </w:p>
        </w:tc>
        <w:tc>
          <w:tcPr>
            <w:tcW w:type="dxa" w:w="2268"/>
            <w:tcMar>
              <w:top w:w="80" w:type="dxa"/>
              <w:start w:w="90" w:type="dxa"/>
              <w:bottom w:w="80" w:type="dxa"/>
              <w:end w:w="90" w:type="dxa"/>
            </w:tcMar>
            <w:shd w:fill="F8FAFC"/>
            <w:vAlign w:val="center"/>
          </w:tcPr>
          <w:p>
            <w:pPr>
              <w:spacing w:after="0"/>
            </w:pPr>
            <w:r>
              <w:rPr>
                <w:rFonts w:ascii="Aptos" w:hAnsi="Aptos"/>
                <w:sz w:val="18"/>
              </w:rPr>
              <w:t>1 450 €</w:t>
            </w:r>
          </w:p>
        </w:tc>
        <w:tc>
          <w:tcPr>
            <w:tcW w:type="dxa" w:w="2268"/>
            <w:tcMar>
              <w:top w:w="80" w:type="dxa"/>
              <w:start w:w="90" w:type="dxa"/>
              <w:bottom w:w="80" w:type="dxa"/>
              <w:end w:w="90" w:type="dxa"/>
            </w:tcMar>
            <w:shd w:fill="F8FAFC"/>
            <w:vAlign w:val="center"/>
          </w:tcPr>
          <w:p>
            <w:pPr>
              <w:spacing w:after="0"/>
            </w:pPr>
            <w:r>
              <w:rPr>
                <w:rFonts w:ascii="Aptos" w:hAnsi="Aptos"/>
                <w:sz w:val="18"/>
              </w:rPr>
              <w:t>1 425 €</w:t>
            </w:r>
          </w:p>
        </w:tc>
      </w:tr>
      <w:tr>
        <w:tc>
          <w:tcPr>
            <w:tcW w:type="dxa" w:w="2268"/>
            <w:tcMar>
              <w:top w:w="80" w:type="dxa"/>
              <w:start w:w="90" w:type="dxa"/>
              <w:bottom w:w="80" w:type="dxa"/>
              <w:end w:w="90" w:type="dxa"/>
            </w:tcMar>
            <w:vAlign w:val="center"/>
          </w:tcPr>
          <w:p>
            <w:pPr>
              <w:spacing w:after="0"/>
            </w:pPr>
            <w:r>
              <w:rPr>
                <w:rFonts w:ascii="Aptos" w:hAnsi="Aptos"/>
                <w:sz w:val="18"/>
              </w:rPr>
              <w:t>1 000 €</w:t>
            </w:r>
          </w:p>
        </w:tc>
        <w:tc>
          <w:tcPr>
            <w:tcW w:type="dxa" w:w="2268"/>
            <w:tcMar>
              <w:top w:w="80" w:type="dxa"/>
              <w:start w:w="90" w:type="dxa"/>
              <w:bottom w:w="80" w:type="dxa"/>
              <w:end w:w="90" w:type="dxa"/>
            </w:tcMar>
            <w:vAlign w:val="center"/>
          </w:tcPr>
          <w:p>
            <w:pPr>
              <w:spacing w:after="0"/>
            </w:pPr>
            <w:r>
              <w:rPr>
                <w:rFonts w:ascii="Aptos" w:hAnsi="Aptos"/>
                <w:sz w:val="18"/>
              </w:rPr>
              <w:t>1 750 €</w:t>
            </w:r>
          </w:p>
        </w:tc>
        <w:tc>
          <w:tcPr>
            <w:tcW w:type="dxa" w:w="2268"/>
            <w:tcMar>
              <w:top w:w="80" w:type="dxa"/>
              <w:start w:w="90" w:type="dxa"/>
              <w:bottom w:w="80" w:type="dxa"/>
              <w:end w:w="90" w:type="dxa"/>
            </w:tcMar>
            <w:vAlign w:val="center"/>
          </w:tcPr>
          <w:p>
            <w:pPr>
              <w:spacing w:after="0"/>
            </w:pPr>
            <w:r>
              <w:rPr>
                <w:rFonts w:ascii="Aptos" w:hAnsi="Aptos"/>
                <w:sz w:val="18"/>
              </w:rPr>
              <w:t>1 700 €</w:t>
            </w:r>
          </w:p>
        </w:tc>
        <w:tc>
          <w:tcPr>
            <w:tcW w:type="dxa" w:w="2268"/>
            <w:tcMar>
              <w:top w:w="80" w:type="dxa"/>
              <w:start w:w="90" w:type="dxa"/>
              <w:bottom w:w="80" w:type="dxa"/>
              <w:end w:w="90" w:type="dxa"/>
            </w:tcMar>
            <w:vAlign w:val="center"/>
          </w:tcPr>
          <w:p>
            <w:pPr>
              <w:spacing w:after="0"/>
            </w:pPr>
            <w:r>
              <w:rPr>
                <w:rFonts w:ascii="Aptos" w:hAnsi="Aptos"/>
                <w:sz w:val="18"/>
              </w:rPr>
              <w:t>1 650 €</w:t>
            </w:r>
          </w:p>
        </w:tc>
      </w:tr>
      <w:tr>
        <w:tc>
          <w:tcPr>
            <w:tcW w:type="dxa" w:w="2268"/>
            <w:tcMar>
              <w:top w:w="80" w:type="dxa"/>
              <w:start w:w="90" w:type="dxa"/>
              <w:bottom w:w="80" w:type="dxa"/>
              <w:end w:w="90" w:type="dxa"/>
            </w:tcMar>
            <w:shd w:fill="F8FAFC"/>
            <w:vAlign w:val="center"/>
          </w:tcPr>
          <w:p>
            <w:pPr>
              <w:spacing w:after="0"/>
            </w:pPr>
            <w:r>
              <w:rPr>
                <w:rFonts w:ascii="Aptos" w:hAnsi="Aptos"/>
                <w:sz w:val="18"/>
              </w:rPr>
              <w:t>1 478 €</w:t>
            </w:r>
          </w:p>
        </w:tc>
        <w:tc>
          <w:tcPr>
            <w:tcW w:type="dxa" w:w="2268"/>
            <w:tcMar>
              <w:top w:w="80" w:type="dxa"/>
              <w:start w:w="90" w:type="dxa"/>
              <w:bottom w:w="80" w:type="dxa"/>
              <w:end w:w="90" w:type="dxa"/>
            </w:tcMar>
            <w:shd w:fill="F8FAFC"/>
            <w:vAlign w:val="center"/>
          </w:tcPr>
          <w:p>
            <w:pPr>
              <w:spacing w:after="0"/>
            </w:pPr>
            <w:r>
              <w:rPr>
                <w:rFonts w:ascii="Aptos" w:hAnsi="Aptos"/>
                <w:sz w:val="18"/>
              </w:rPr>
              <w:t>2 013 €</w:t>
            </w:r>
          </w:p>
        </w:tc>
        <w:tc>
          <w:tcPr>
            <w:tcW w:type="dxa" w:w="2268"/>
            <w:tcMar>
              <w:top w:w="80" w:type="dxa"/>
              <w:start w:w="90" w:type="dxa"/>
              <w:bottom w:w="80" w:type="dxa"/>
              <w:end w:w="90" w:type="dxa"/>
            </w:tcMar>
            <w:shd w:fill="F8FAFC"/>
            <w:vAlign w:val="center"/>
          </w:tcPr>
          <w:p>
            <w:pPr>
              <w:spacing w:after="0"/>
            </w:pPr>
            <w:r>
              <w:rPr>
                <w:rFonts w:ascii="Aptos" w:hAnsi="Aptos"/>
                <w:sz w:val="18"/>
              </w:rPr>
              <w:t>1 939 €</w:t>
            </w:r>
          </w:p>
        </w:tc>
        <w:tc>
          <w:tcPr>
            <w:tcW w:type="dxa" w:w="2268"/>
            <w:tcMar>
              <w:top w:w="80" w:type="dxa"/>
              <w:start w:w="90" w:type="dxa"/>
              <w:bottom w:w="80" w:type="dxa"/>
              <w:end w:w="90" w:type="dxa"/>
            </w:tcMar>
            <w:shd w:fill="F8FAFC"/>
            <w:vAlign w:val="center"/>
          </w:tcPr>
          <w:p>
            <w:pPr>
              <w:spacing w:after="0"/>
            </w:pPr>
            <w:r>
              <w:rPr>
                <w:rFonts w:ascii="Aptos" w:hAnsi="Aptos"/>
                <w:sz w:val="18"/>
              </w:rPr>
              <w:t>1 865 €</w:t>
            </w:r>
          </w:p>
        </w:tc>
      </w:tr>
      <w:tr>
        <w:tc>
          <w:tcPr>
            <w:tcW w:type="dxa" w:w="2268"/>
            <w:tcMar>
              <w:top w:w="80" w:type="dxa"/>
              <w:start w:w="90" w:type="dxa"/>
              <w:bottom w:w="80" w:type="dxa"/>
              <w:end w:w="90" w:type="dxa"/>
            </w:tcMar>
            <w:vAlign w:val="center"/>
          </w:tcPr>
          <w:p>
            <w:pPr>
              <w:spacing w:after="0"/>
            </w:pPr>
            <w:r>
              <w:rPr>
                <w:rFonts w:ascii="Aptos" w:hAnsi="Aptos"/>
                <w:sz w:val="18"/>
              </w:rPr>
              <w:t>2 000 €</w:t>
            </w:r>
          </w:p>
        </w:tc>
        <w:tc>
          <w:tcPr>
            <w:tcW w:type="dxa" w:w="2268"/>
            <w:tcMar>
              <w:top w:w="80" w:type="dxa"/>
              <w:start w:w="90" w:type="dxa"/>
              <w:bottom w:w="80" w:type="dxa"/>
              <w:end w:w="90" w:type="dxa"/>
            </w:tcMar>
            <w:vAlign w:val="center"/>
          </w:tcPr>
          <w:p>
            <w:pPr>
              <w:spacing w:after="0"/>
            </w:pPr>
            <w:r>
              <w:rPr>
                <w:rFonts w:ascii="Aptos" w:hAnsi="Aptos"/>
                <w:sz w:val="18"/>
              </w:rPr>
              <w:t>2 300 €</w:t>
            </w:r>
          </w:p>
        </w:tc>
        <w:tc>
          <w:tcPr>
            <w:tcW w:type="dxa" w:w="2268"/>
            <w:tcMar>
              <w:top w:w="80" w:type="dxa"/>
              <w:start w:w="90" w:type="dxa"/>
              <w:bottom w:w="80" w:type="dxa"/>
              <w:end w:w="90" w:type="dxa"/>
            </w:tcMar>
            <w:vAlign w:val="center"/>
          </w:tcPr>
          <w:p>
            <w:pPr>
              <w:spacing w:after="0"/>
            </w:pPr>
            <w:r>
              <w:rPr>
                <w:rFonts w:ascii="Aptos" w:hAnsi="Aptos"/>
                <w:sz w:val="18"/>
              </w:rPr>
              <w:t>2 200 €</w:t>
            </w:r>
          </w:p>
        </w:tc>
        <w:tc>
          <w:tcPr>
            <w:tcW w:type="dxa" w:w="2268"/>
            <w:tcMar>
              <w:top w:w="80" w:type="dxa"/>
              <w:start w:w="90" w:type="dxa"/>
              <w:bottom w:w="80" w:type="dxa"/>
              <w:end w:w="90" w:type="dxa"/>
            </w:tcMar>
            <w:vAlign w:val="center"/>
          </w:tcPr>
          <w:p>
            <w:pPr>
              <w:spacing w:after="0"/>
            </w:pPr>
            <w:r>
              <w:rPr>
                <w:rFonts w:ascii="Aptos" w:hAnsi="Aptos"/>
                <w:sz w:val="18"/>
              </w:rPr>
              <w:t>2 100 €</w:t>
            </w:r>
          </w:p>
        </w:tc>
      </w:tr>
      <w:tr>
        <w:tc>
          <w:tcPr>
            <w:tcW w:type="dxa" w:w="2268"/>
            <w:tcMar>
              <w:top w:w="80" w:type="dxa"/>
              <w:start w:w="90" w:type="dxa"/>
              <w:bottom w:w="80" w:type="dxa"/>
              <w:end w:w="90" w:type="dxa"/>
            </w:tcMar>
            <w:shd w:fill="F8FAFC"/>
            <w:vAlign w:val="center"/>
          </w:tcPr>
          <w:p>
            <w:pPr>
              <w:spacing w:after="0"/>
            </w:pPr>
            <w:r>
              <w:rPr>
                <w:rFonts w:ascii="Aptos" w:hAnsi="Aptos"/>
                <w:sz w:val="18"/>
              </w:rPr>
              <w:t>3 000 €</w:t>
            </w:r>
          </w:p>
        </w:tc>
        <w:tc>
          <w:tcPr>
            <w:tcW w:type="dxa" w:w="2268"/>
            <w:tcMar>
              <w:top w:w="80" w:type="dxa"/>
              <w:start w:w="90" w:type="dxa"/>
              <w:bottom w:w="80" w:type="dxa"/>
              <w:end w:w="90" w:type="dxa"/>
            </w:tcMar>
            <w:shd w:fill="F8FAFC"/>
            <w:vAlign w:val="center"/>
          </w:tcPr>
          <w:p>
            <w:pPr>
              <w:spacing w:after="0"/>
            </w:pPr>
            <w:r>
              <w:rPr>
                <w:rFonts w:ascii="Aptos" w:hAnsi="Aptos"/>
                <w:sz w:val="18"/>
              </w:rPr>
              <w:t>2 850 €</w:t>
            </w:r>
          </w:p>
        </w:tc>
        <w:tc>
          <w:tcPr>
            <w:tcW w:type="dxa" w:w="2268"/>
            <w:tcMar>
              <w:top w:w="80" w:type="dxa"/>
              <w:start w:w="90" w:type="dxa"/>
              <w:bottom w:w="80" w:type="dxa"/>
              <w:end w:w="90" w:type="dxa"/>
            </w:tcMar>
            <w:shd w:fill="F8FAFC"/>
            <w:vAlign w:val="center"/>
          </w:tcPr>
          <w:p>
            <w:pPr>
              <w:spacing w:after="0"/>
            </w:pPr>
            <w:r>
              <w:rPr>
                <w:rFonts w:ascii="Aptos" w:hAnsi="Aptos"/>
                <w:sz w:val="18"/>
              </w:rPr>
              <w:t>2 700 €</w:t>
            </w:r>
          </w:p>
        </w:tc>
        <w:tc>
          <w:tcPr>
            <w:tcW w:type="dxa" w:w="2268"/>
            <w:tcMar>
              <w:top w:w="80" w:type="dxa"/>
              <w:start w:w="90" w:type="dxa"/>
              <w:bottom w:w="80" w:type="dxa"/>
              <w:end w:w="90" w:type="dxa"/>
            </w:tcMar>
            <w:shd w:fill="F8FAFC"/>
            <w:vAlign w:val="center"/>
          </w:tcPr>
          <w:p>
            <w:pPr>
              <w:spacing w:after="0"/>
            </w:pPr>
            <w:r>
              <w:rPr>
                <w:rFonts w:ascii="Aptos" w:hAnsi="Aptos"/>
                <w:sz w:val="18"/>
              </w:rPr>
              <w:t>2 550 €</w:t>
            </w:r>
          </w:p>
        </w:tc>
      </w:tr>
      <w:tr>
        <w:tc>
          <w:tcPr>
            <w:tcW w:type="dxa" w:w="2268"/>
            <w:tcMar>
              <w:top w:w="80" w:type="dxa"/>
              <w:start w:w="90" w:type="dxa"/>
              <w:bottom w:w="80" w:type="dxa"/>
              <w:end w:w="90" w:type="dxa"/>
            </w:tcMar>
            <w:vAlign w:val="center"/>
          </w:tcPr>
          <w:p>
            <w:pPr>
              <w:spacing w:after="0"/>
            </w:pPr>
            <w:r>
              <w:rPr>
                <w:rFonts w:ascii="Aptos" w:hAnsi="Aptos"/>
                <w:sz w:val="18"/>
              </w:rPr>
              <w:t>4 000 €</w:t>
            </w:r>
          </w:p>
        </w:tc>
        <w:tc>
          <w:tcPr>
            <w:tcW w:type="dxa" w:w="2268"/>
            <w:tcMar>
              <w:top w:w="80" w:type="dxa"/>
              <w:start w:w="90" w:type="dxa"/>
              <w:bottom w:w="80" w:type="dxa"/>
              <w:end w:w="90" w:type="dxa"/>
            </w:tcMar>
            <w:vAlign w:val="center"/>
          </w:tcPr>
          <w:p>
            <w:pPr>
              <w:spacing w:after="0"/>
            </w:pPr>
            <w:r>
              <w:rPr>
                <w:rFonts w:ascii="Aptos" w:hAnsi="Aptos"/>
                <w:sz w:val="18"/>
              </w:rPr>
              <w:t>3 400 €</w:t>
            </w:r>
          </w:p>
        </w:tc>
        <w:tc>
          <w:tcPr>
            <w:tcW w:type="dxa" w:w="2268"/>
            <w:tcMar>
              <w:top w:w="80" w:type="dxa"/>
              <w:start w:w="90" w:type="dxa"/>
              <w:bottom w:w="80" w:type="dxa"/>
              <w:end w:w="90" w:type="dxa"/>
            </w:tcMar>
            <w:vAlign w:val="center"/>
          </w:tcPr>
          <w:p>
            <w:pPr>
              <w:spacing w:after="0"/>
            </w:pPr>
            <w:r>
              <w:rPr>
                <w:rFonts w:ascii="Aptos" w:hAnsi="Aptos"/>
                <w:sz w:val="18"/>
              </w:rPr>
              <w:t>3 200 €</w:t>
            </w:r>
          </w:p>
        </w:tc>
        <w:tc>
          <w:tcPr>
            <w:tcW w:type="dxa" w:w="2268"/>
            <w:tcMar>
              <w:top w:w="80" w:type="dxa"/>
              <w:start w:w="90" w:type="dxa"/>
              <w:bottom w:w="80" w:type="dxa"/>
              <w:end w:w="90" w:type="dxa"/>
            </w:tcMar>
            <w:vAlign w:val="center"/>
          </w:tcPr>
          <w:p>
            <w:pPr>
              <w:spacing w:after="0"/>
            </w:pPr>
            <w:r>
              <w:rPr>
                <w:rFonts w:ascii="Aptos" w:hAnsi="Aptos"/>
                <w:sz w:val="18"/>
              </w:rPr>
              <w:t>3 000 €</w:t>
            </w:r>
          </w:p>
        </w:tc>
      </w:tr>
      <w:tr>
        <w:tc>
          <w:tcPr>
            <w:tcW w:type="dxa" w:w="2268"/>
            <w:tcMar>
              <w:top w:w="80" w:type="dxa"/>
              <w:start w:w="90" w:type="dxa"/>
              <w:bottom w:w="80" w:type="dxa"/>
              <w:end w:w="90" w:type="dxa"/>
            </w:tcMar>
            <w:shd w:fill="F8FAFC"/>
            <w:vAlign w:val="center"/>
          </w:tcPr>
          <w:p>
            <w:pPr>
              <w:spacing w:after="0"/>
            </w:pPr>
            <w:r>
              <w:rPr>
                <w:rFonts w:ascii="Aptos" w:hAnsi="Aptos"/>
                <w:sz w:val="18"/>
              </w:rPr>
              <w:t>6 000 €</w:t>
            </w:r>
          </w:p>
        </w:tc>
        <w:tc>
          <w:tcPr>
            <w:tcW w:type="dxa" w:w="2268"/>
            <w:tcMar>
              <w:top w:w="80" w:type="dxa"/>
              <w:start w:w="90" w:type="dxa"/>
              <w:bottom w:w="80" w:type="dxa"/>
              <w:end w:w="90" w:type="dxa"/>
            </w:tcMar>
            <w:shd w:fill="F8FAFC"/>
            <w:vAlign w:val="center"/>
          </w:tcPr>
          <w:p>
            <w:pPr>
              <w:spacing w:after="0"/>
            </w:pPr>
            <w:r>
              <w:rPr>
                <w:rFonts w:ascii="Aptos" w:hAnsi="Aptos"/>
                <w:sz w:val="18"/>
              </w:rPr>
              <w:t>4 500 €</w:t>
            </w:r>
          </w:p>
        </w:tc>
        <w:tc>
          <w:tcPr>
            <w:tcW w:type="dxa" w:w="2268"/>
            <w:tcMar>
              <w:top w:w="80" w:type="dxa"/>
              <w:start w:w="90" w:type="dxa"/>
              <w:bottom w:w="80" w:type="dxa"/>
              <w:end w:w="90" w:type="dxa"/>
            </w:tcMar>
            <w:shd w:fill="F8FAFC"/>
            <w:vAlign w:val="center"/>
          </w:tcPr>
          <w:p>
            <w:pPr>
              <w:spacing w:after="0"/>
            </w:pPr>
            <w:r>
              <w:rPr>
                <w:rFonts w:ascii="Aptos" w:hAnsi="Aptos"/>
                <w:sz w:val="18"/>
              </w:rPr>
              <w:t>4 200 €</w:t>
            </w:r>
          </w:p>
        </w:tc>
        <w:tc>
          <w:tcPr>
            <w:tcW w:type="dxa" w:w="2268"/>
            <w:tcMar>
              <w:top w:w="80" w:type="dxa"/>
              <w:start w:w="90" w:type="dxa"/>
              <w:bottom w:w="80" w:type="dxa"/>
              <w:end w:w="90" w:type="dxa"/>
            </w:tcMar>
            <w:shd w:fill="F8FAFC"/>
            <w:vAlign w:val="center"/>
          </w:tcPr>
          <w:p>
            <w:pPr>
              <w:spacing w:after="0"/>
            </w:pPr>
            <w:r>
              <w:rPr>
                <w:rFonts w:ascii="Aptos" w:hAnsi="Aptos"/>
                <w:sz w:val="18"/>
              </w:rPr>
              <w:t>3 900 €</w:t>
            </w:r>
          </w:p>
        </w:tc>
      </w:tr>
      <w:tr>
        <w:tc>
          <w:tcPr>
            <w:tcW w:type="dxa" w:w="2268"/>
            <w:tcMar>
              <w:top w:w="80" w:type="dxa"/>
              <w:start w:w="90" w:type="dxa"/>
              <w:bottom w:w="80" w:type="dxa"/>
              <w:end w:w="90" w:type="dxa"/>
            </w:tcMar>
            <w:vAlign w:val="center"/>
          </w:tcPr>
          <w:p>
            <w:pPr>
              <w:spacing w:after="0"/>
            </w:pPr>
            <w:r>
              <w:rPr>
                <w:rFonts w:ascii="Aptos" w:hAnsi="Aptos"/>
                <w:sz w:val="18"/>
              </w:rPr>
              <w:t>10 000 €</w:t>
            </w:r>
          </w:p>
        </w:tc>
        <w:tc>
          <w:tcPr>
            <w:tcW w:type="dxa" w:w="2268"/>
            <w:tcMar>
              <w:top w:w="80" w:type="dxa"/>
              <w:start w:w="90" w:type="dxa"/>
              <w:bottom w:w="80" w:type="dxa"/>
              <w:end w:w="90" w:type="dxa"/>
            </w:tcMar>
            <w:vAlign w:val="center"/>
          </w:tcPr>
          <w:p>
            <w:pPr>
              <w:spacing w:after="0"/>
            </w:pPr>
            <w:r>
              <w:rPr>
                <w:rFonts w:ascii="Aptos" w:hAnsi="Aptos"/>
                <w:sz w:val="18"/>
              </w:rPr>
              <w:t>6 700 €</w:t>
            </w:r>
          </w:p>
        </w:tc>
        <w:tc>
          <w:tcPr>
            <w:tcW w:type="dxa" w:w="2268"/>
            <w:tcMar>
              <w:top w:w="80" w:type="dxa"/>
              <w:start w:w="90" w:type="dxa"/>
              <w:bottom w:w="80" w:type="dxa"/>
              <w:end w:w="90" w:type="dxa"/>
            </w:tcMar>
            <w:vAlign w:val="center"/>
          </w:tcPr>
          <w:p>
            <w:pPr>
              <w:spacing w:after="0"/>
            </w:pPr>
            <w:r>
              <w:rPr>
                <w:rFonts w:ascii="Aptos" w:hAnsi="Aptos"/>
                <w:sz w:val="18"/>
              </w:rPr>
              <w:t>6 200 €</w:t>
            </w:r>
          </w:p>
        </w:tc>
        <w:tc>
          <w:tcPr>
            <w:tcW w:type="dxa" w:w="2268"/>
            <w:tcMar>
              <w:top w:w="80" w:type="dxa"/>
              <w:start w:w="90" w:type="dxa"/>
              <w:bottom w:w="80" w:type="dxa"/>
              <w:end w:w="90" w:type="dxa"/>
            </w:tcMar>
            <w:vAlign w:val="center"/>
          </w:tcPr>
          <w:p>
            <w:pPr>
              <w:spacing w:after="0"/>
            </w:pPr>
            <w:r>
              <w:rPr>
                <w:rFonts w:ascii="Aptos" w:hAnsi="Aptos"/>
                <w:sz w:val="18"/>
              </w:rPr>
              <w:t>5 700 €</w:t>
            </w:r>
          </w:p>
        </w:tc>
      </w:tr>
    </w:tbl>
    <w:p>
      <w:pPr>
        <w:spacing w:after="20"/>
      </w:pPr>
    </w:p>
    <w:p>
      <w:pPr>
        <w:jc w:val="center"/>
      </w:pPr>
      <w:r>
        <w:drawing>
          <wp:inline xmlns:a="http://schemas.openxmlformats.org/drawingml/2006/main" xmlns:pic="http://schemas.openxmlformats.org/drawingml/2006/picture">
            <wp:extent cx="5724000" cy="3148200"/>
            <wp:docPr id="1" name="Picture 1" descr="Graphique montrant le revenu disponible avec un revenu universel de 1 200 euros selon des taux de prélèvement de 45, 50 et 55 %." title="Effet mécanique du revenu universel selon le taux de prélèvement"/>
            <wp:cNvGraphicFramePr>
              <a:graphicFrameLocks noChangeAspect="1"/>
            </wp:cNvGraphicFramePr>
            <a:graphic>
              <a:graphicData uri="http://schemas.openxmlformats.org/drawingml/2006/picture">
                <pic:pic>
                  <pic:nvPicPr>
                    <pic:cNvPr id="0" name="revenu_disponible_scenarios.png"/>
                    <pic:cNvPicPr/>
                  </pic:nvPicPr>
                  <pic:blipFill>
                    <a:blip r:embed="rId10"/>
                    <a:stretch>
                      <a:fillRect/>
                    </a:stretch>
                  </pic:blipFill>
                  <pic:spPr>
                    <a:xfrm>
                      <a:off x="0" y="0"/>
                      <a:ext cx="5724000" cy="3148200"/>
                    </a:xfrm>
                    <a:prstGeom prst="rect"/>
                  </pic:spPr>
                </pic:pic>
              </a:graphicData>
            </a:graphic>
          </wp:inline>
        </w:drawing>
      </w:r>
    </w:p>
    <w:p>
      <w:pPr>
        <w:jc w:val="center"/>
      </w:pPr>
      <w:r>
        <w:rPr>
          <w:i/>
          <w:color w:val="64696E"/>
          <w:sz w:val="17"/>
        </w:rPr>
        <w:t>Figure 1. Effet mécanique de trois taux de prélèvement. Le graphique ne constitue pas un chiffrage d’équilibre budgétaire.</w:t>
      </w:r>
    </w:p>
    <w:p>
      <w:pPr>
        <w:pStyle w:val="Heading1"/>
        <w:keepNext/>
      </w:pPr>
      <w:r>
        <w:t>5. Cas concrets avec le scénario à 50 %</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3324"/>
        <w:gridCol w:w="3324"/>
        <w:gridCol w:w="3324"/>
      </w:tblGrid>
      <w:tr>
        <w:trPr>
          <w:tblHeader w:val="true"/>
        </w:trPr>
        <w:tc>
          <w:tcPr>
            <w:tcW w:type="dxa" w:w="4139"/>
            <w:shd w:fill="EAF0F5"/>
            <w:tcMar>
              <w:top w:w="80" w:type="dxa"/>
              <w:start w:w="90" w:type="dxa"/>
              <w:bottom w:w="80" w:type="dxa"/>
              <w:end w:w="90" w:type="dxa"/>
            </w:tcMar>
            <w:vAlign w:val="center"/>
          </w:tcPr>
          <w:p>
            <w:pPr>
              <w:spacing w:after="0"/>
            </w:pPr>
            <w:r>
              <w:rPr>
                <w:rFonts w:ascii="Aptos" w:hAnsi="Aptos"/>
                <w:b/>
                <w:sz w:val="19"/>
              </w:rPr>
              <w:t>Situation</w:t>
            </w:r>
          </w:p>
        </w:tc>
        <w:tc>
          <w:tcPr>
            <w:tcW w:type="dxa" w:w="2721"/>
            <w:shd w:fill="EAF0F5"/>
            <w:tcMar>
              <w:top w:w="80" w:type="dxa"/>
              <w:start w:w="90" w:type="dxa"/>
              <w:bottom w:w="80" w:type="dxa"/>
              <w:end w:w="90" w:type="dxa"/>
            </w:tcMar>
            <w:vAlign w:val="center"/>
          </w:tcPr>
          <w:p>
            <w:pPr>
              <w:spacing w:after="0"/>
            </w:pPr>
            <w:r>
              <w:rPr>
                <w:rFonts w:ascii="Aptos" w:hAnsi="Aptos"/>
                <w:b/>
                <w:sz w:val="19"/>
              </w:rPr>
              <w:t>Calcul simplifié</w:t>
            </w:r>
          </w:p>
        </w:tc>
        <w:tc>
          <w:tcPr>
            <w:tcW w:type="dxa" w:w="2324"/>
            <w:shd w:fill="EAF0F5"/>
            <w:tcMar>
              <w:top w:w="80" w:type="dxa"/>
              <w:start w:w="90" w:type="dxa"/>
              <w:bottom w:w="80" w:type="dxa"/>
              <w:end w:w="90" w:type="dxa"/>
            </w:tcMar>
            <w:vAlign w:val="center"/>
          </w:tcPr>
          <w:p>
            <w:pPr>
              <w:spacing w:after="0"/>
            </w:pPr>
            <w:r>
              <w:rPr>
                <w:rFonts w:ascii="Aptos" w:hAnsi="Aptos"/>
                <w:b/>
                <w:sz w:val="19"/>
              </w:rPr>
              <w:t>Revenu disponible</w:t>
            </w:r>
          </w:p>
        </w:tc>
      </w:tr>
      <w:tr>
        <w:tc>
          <w:tcPr>
            <w:tcW w:type="dxa" w:w="4139"/>
            <w:tcMar>
              <w:top w:w="80" w:type="dxa"/>
              <w:start w:w="90" w:type="dxa"/>
              <w:bottom w:w="80" w:type="dxa"/>
              <w:end w:w="90" w:type="dxa"/>
            </w:tcMar>
            <w:vAlign w:val="center"/>
          </w:tcPr>
          <w:p>
            <w:pPr>
              <w:spacing w:after="0"/>
            </w:pPr>
            <w:r>
              <w:rPr>
                <w:rFonts w:ascii="Aptos" w:hAnsi="Aptos"/>
                <w:sz w:val="18"/>
              </w:rPr>
              <w:t>Adulte sans revenu</w:t>
            </w:r>
          </w:p>
        </w:tc>
        <w:tc>
          <w:tcPr>
            <w:tcW w:type="dxa" w:w="2721"/>
            <w:tcMar>
              <w:top w:w="80" w:type="dxa"/>
              <w:start w:w="90" w:type="dxa"/>
              <w:bottom w:w="80" w:type="dxa"/>
              <w:end w:w="90" w:type="dxa"/>
            </w:tcMar>
            <w:vAlign w:val="center"/>
          </w:tcPr>
          <w:p>
            <w:pPr>
              <w:spacing w:after="0"/>
            </w:pPr>
            <w:r>
              <w:rPr>
                <w:rFonts w:ascii="Aptos" w:hAnsi="Aptos"/>
                <w:sz w:val="18"/>
              </w:rPr>
              <w:t>1 200</w:t>
            </w:r>
          </w:p>
        </w:tc>
        <w:tc>
          <w:tcPr>
            <w:tcW w:type="dxa" w:w="2324"/>
            <w:tcMar>
              <w:top w:w="80" w:type="dxa"/>
              <w:start w:w="90" w:type="dxa"/>
              <w:bottom w:w="80" w:type="dxa"/>
              <w:end w:w="90" w:type="dxa"/>
            </w:tcMar>
            <w:vAlign w:val="center"/>
          </w:tcPr>
          <w:p>
            <w:pPr>
              <w:spacing w:after="0"/>
            </w:pPr>
            <w:r>
              <w:rPr>
                <w:rFonts w:ascii="Aptos" w:hAnsi="Aptos"/>
                <w:sz w:val="18"/>
              </w:rPr>
              <w:t>1 200 €</w:t>
            </w:r>
          </w:p>
        </w:tc>
      </w:tr>
      <w:tr>
        <w:tc>
          <w:tcPr>
            <w:tcW w:type="dxa" w:w="4139"/>
            <w:tcMar>
              <w:top w:w="80" w:type="dxa"/>
              <w:start w:w="90" w:type="dxa"/>
              <w:bottom w:w="80" w:type="dxa"/>
              <w:end w:w="90" w:type="dxa"/>
            </w:tcMar>
            <w:shd w:fill="F8FAFC"/>
            <w:vAlign w:val="center"/>
          </w:tcPr>
          <w:p>
            <w:pPr>
              <w:spacing w:after="0"/>
            </w:pPr>
            <w:r>
              <w:rPr>
                <w:rFonts w:ascii="Aptos" w:hAnsi="Aptos"/>
                <w:sz w:val="18"/>
              </w:rPr>
              <w:t>Mi-temps, 1 000 € gagnés</w:t>
            </w:r>
          </w:p>
        </w:tc>
        <w:tc>
          <w:tcPr>
            <w:tcW w:type="dxa" w:w="2721"/>
            <w:tcMar>
              <w:top w:w="80" w:type="dxa"/>
              <w:start w:w="90" w:type="dxa"/>
              <w:bottom w:w="80" w:type="dxa"/>
              <w:end w:w="90" w:type="dxa"/>
            </w:tcMar>
            <w:shd w:fill="F8FAFC"/>
            <w:vAlign w:val="center"/>
          </w:tcPr>
          <w:p>
            <w:pPr>
              <w:spacing w:after="0"/>
            </w:pPr>
            <w:r>
              <w:rPr>
                <w:rFonts w:ascii="Aptos" w:hAnsi="Aptos"/>
                <w:sz w:val="18"/>
              </w:rPr>
              <w:t>1 200 + 500</w:t>
            </w:r>
          </w:p>
        </w:tc>
        <w:tc>
          <w:tcPr>
            <w:tcW w:type="dxa" w:w="2324"/>
            <w:tcMar>
              <w:top w:w="80" w:type="dxa"/>
              <w:start w:w="90" w:type="dxa"/>
              <w:bottom w:w="80" w:type="dxa"/>
              <w:end w:w="90" w:type="dxa"/>
            </w:tcMar>
            <w:shd w:fill="F8FAFC"/>
            <w:vAlign w:val="center"/>
          </w:tcPr>
          <w:p>
            <w:pPr>
              <w:spacing w:after="0"/>
            </w:pPr>
            <w:r>
              <w:rPr>
                <w:rFonts w:ascii="Aptos" w:hAnsi="Aptos"/>
                <w:sz w:val="18"/>
              </w:rPr>
              <w:t>1 700 €</w:t>
            </w:r>
          </w:p>
        </w:tc>
      </w:tr>
      <w:tr>
        <w:tc>
          <w:tcPr>
            <w:tcW w:type="dxa" w:w="4139"/>
            <w:tcMar>
              <w:top w:w="80" w:type="dxa"/>
              <w:start w:w="90" w:type="dxa"/>
              <w:bottom w:w="80" w:type="dxa"/>
              <w:end w:w="90" w:type="dxa"/>
            </w:tcMar>
            <w:vAlign w:val="center"/>
          </w:tcPr>
          <w:p>
            <w:pPr>
              <w:spacing w:after="0"/>
            </w:pPr>
            <w:r>
              <w:rPr>
                <w:rFonts w:ascii="Aptos" w:hAnsi="Aptos"/>
                <w:sz w:val="18"/>
              </w:rPr>
              <w:t>SMIC net 2026, env. 1 478 €</w:t>
            </w:r>
          </w:p>
        </w:tc>
        <w:tc>
          <w:tcPr>
            <w:tcW w:type="dxa" w:w="2721"/>
            <w:tcMar>
              <w:top w:w="80" w:type="dxa"/>
              <w:start w:w="90" w:type="dxa"/>
              <w:bottom w:w="80" w:type="dxa"/>
              <w:end w:w="90" w:type="dxa"/>
            </w:tcMar>
            <w:vAlign w:val="center"/>
          </w:tcPr>
          <w:p>
            <w:pPr>
              <w:spacing w:after="0"/>
            </w:pPr>
            <w:r>
              <w:rPr>
                <w:rFonts w:ascii="Aptos" w:hAnsi="Aptos"/>
                <w:sz w:val="18"/>
              </w:rPr>
              <w:t>1 200 + 739</w:t>
            </w:r>
          </w:p>
        </w:tc>
        <w:tc>
          <w:tcPr>
            <w:tcW w:type="dxa" w:w="2324"/>
            <w:tcMar>
              <w:top w:w="80" w:type="dxa"/>
              <w:start w:w="90" w:type="dxa"/>
              <w:bottom w:w="80" w:type="dxa"/>
              <w:end w:w="90" w:type="dxa"/>
            </w:tcMar>
            <w:vAlign w:val="center"/>
          </w:tcPr>
          <w:p>
            <w:pPr>
              <w:spacing w:after="0"/>
            </w:pPr>
            <w:r>
              <w:rPr>
                <w:rFonts w:ascii="Aptos" w:hAnsi="Aptos"/>
                <w:sz w:val="18"/>
              </w:rPr>
              <w:t>1 939 €</w:t>
            </w:r>
          </w:p>
        </w:tc>
      </w:tr>
      <w:tr>
        <w:tc>
          <w:tcPr>
            <w:tcW w:type="dxa" w:w="4139"/>
            <w:tcMar>
              <w:top w:w="80" w:type="dxa"/>
              <w:start w:w="90" w:type="dxa"/>
              <w:bottom w:w="80" w:type="dxa"/>
              <w:end w:w="90" w:type="dxa"/>
            </w:tcMar>
            <w:shd w:fill="F8FAFC"/>
            <w:vAlign w:val="center"/>
          </w:tcPr>
          <w:p>
            <w:pPr>
              <w:spacing w:after="0"/>
            </w:pPr>
            <w:r>
              <w:rPr>
                <w:rFonts w:ascii="Aptos" w:hAnsi="Aptos"/>
                <w:sz w:val="18"/>
              </w:rPr>
              <w:t>2 000 € gagnés</w:t>
            </w:r>
          </w:p>
        </w:tc>
        <w:tc>
          <w:tcPr>
            <w:tcW w:type="dxa" w:w="2721"/>
            <w:tcMar>
              <w:top w:w="80" w:type="dxa"/>
              <w:start w:w="90" w:type="dxa"/>
              <w:bottom w:w="80" w:type="dxa"/>
              <w:end w:w="90" w:type="dxa"/>
            </w:tcMar>
            <w:shd w:fill="F8FAFC"/>
            <w:vAlign w:val="center"/>
          </w:tcPr>
          <w:p>
            <w:pPr>
              <w:spacing w:after="0"/>
            </w:pPr>
            <w:r>
              <w:rPr>
                <w:rFonts w:ascii="Aptos" w:hAnsi="Aptos"/>
                <w:sz w:val="18"/>
              </w:rPr>
              <w:t>1 200 + 1 000</w:t>
            </w:r>
          </w:p>
        </w:tc>
        <w:tc>
          <w:tcPr>
            <w:tcW w:type="dxa" w:w="2324"/>
            <w:tcMar>
              <w:top w:w="80" w:type="dxa"/>
              <w:start w:w="90" w:type="dxa"/>
              <w:bottom w:w="80" w:type="dxa"/>
              <w:end w:w="90" w:type="dxa"/>
            </w:tcMar>
            <w:shd w:fill="F8FAFC"/>
            <w:vAlign w:val="center"/>
          </w:tcPr>
          <w:p>
            <w:pPr>
              <w:spacing w:after="0"/>
            </w:pPr>
            <w:r>
              <w:rPr>
                <w:rFonts w:ascii="Aptos" w:hAnsi="Aptos"/>
                <w:sz w:val="18"/>
              </w:rPr>
              <w:t>2 200 €</w:t>
            </w:r>
          </w:p>
        </w:tc>
      </w:tr>
      <w:tr>
        <w:tc>
          <w:tcPr>
            <w:tcW w:type="dxa" w:w="4139"/>
            <w:tcMar>
              <w:top w:w="80" w:type="dxa"/>
              <w:start w:w="90" w:type="dxa"/>
              <w:bottom w:w="80" w:type="dxa"/>
              <w:end w:w="90" w:type="dxa"/>
            </w:tcMar>
            <w:vAlign w:val="center"/>
          </w:tcPr>
          <w:p>
            <w:pPr>
              <w:spacing w:after="0"/>
            </w:pPr>
            <w:r>
              <w:rPr>
                <w:rFonts w:ascii="Aptos" w:hAnsi="Aptos"/>
                <w:sz w:val="18"/>
              </w:rPr>
              <w:t>3 000 € gagnés</w:t>
            </w:r>
          </w:p>
        </w:tc>
        <w:tc>
          <w:tcPr>
            <w:tcW w:type="dxa" w:w="2721"/>
            <w:tcMar>
              <w:top w:w="80" w:type="dxa"/>
              <w:start w:w="90" w:type="dxa"/>
              <w:bottom w:w="80" w:type="dxa"/>
              <w:end w:w="90" w:type="dxa"/>
            </w:tcMar>
            <w:vAlign w:val="center"/>
          </w:tcPr>
          <w:p>
            <w:pPr>
              <w:spacing w:after="0"/>
            </w:pPr>
            <w:r>
              <w:rPr>
                <w:rFonts w:ascii="Aptos" w:hAnsi="Aptos"/>
                <w:sz w:val="18"/>
              </w:rPr>
              <w:t>1 200 + 1 500</w:t>
            </w:r>
          </w:p>
        </w:tc>
        <w:tc>
          <w:tcPr>
            <w:tcW w:type="dxa" w:w="2324"/>
            <w:tcMar>
              <w:top w:w="80" w:type="dxa"/>
              <w:start w:w="90" w:type="dxa"/>
              <w:bottom w:w="80" w:type="dxa"/>
              <w:end w:w="90" w:type="dxa"/>
            </w:tcMar>
            <w:vAlign w:val="center"/>
          </w:tcPr>
          <w:p>
            <w:pPr>
              <w:spacing w:after="0"/>
            </w:pPr>
            <w:r>
              <w:rPr>
                <w:rFonts w:ascii="Aptos" w:hAnsi="Aptos"/>
                <w:sz w:val="18"/>
              </w:rPr>
              <w:t>2 700 €</w:t>
            </w:r>
          </w:p>
        </w:tc>
      </w:tr>
      <w:tr>
        <w:tc>
          <w:tcPr>
            <w:tcW w:type="dxa" w:w="4139"/>
            <w:tcMar>
              <w:top w:w="80" w:type="dxa"/>
              <w:start w:w="90" w:type="dxa"/>
              <w:bottom w:w="80" w:type="dxa"/>
              <w:end w:w="90" w:type="dxa"/>
            </w:tcMar>
            <w:shd w:fill="F8FAFC"/>
            <w:vAlign w:val="center"/>
          </w:tcPr>
          <w:p>
            <w:pPr>
              <w:spacing w:after="0"/>
            </w:pPr>
            <w:r>
              <w:rPr>
                <w:rFonts w:ascii="Aptos" w:hAnsi="Aptos"/>
                <w:sz w:val="18"/>
              </w:rPr>
              <w:t>4 000 € gagnés</w:t>
            </w:r>
          </w:p>
        </w:tc>
        <w:tc>
          <w:tcPr>
            <w:tcW w:type="dxa" w:w="2721"/>
            <w:tcMar>
              <w:top w:w="80" w:type="dxa"/>
              <w:start w:w="90" w:type="dxa"/>
              <w:bottom w:w="80" w:type="dxa"/>
              <w:end w:w="90" w:type="dxa"/>
            </w:tcMar>
            <w:shd w:fill="F8FAFC"/>
            <w:vAlign w:val="center"/>
          </w:tcPr>
          <w:p>
            <w:pPr>
              <w:spacing w:after="0"/>
            </w:pPr>
            <w:r>
              <w:rPr>
                <w:rFonts w:ascii="Aptos" w:hAnsi="Aptos"/>
                <w:sz w:val="18"/>
              </w:rPr>
              <w:t>1 200 + 2 000</w:t>
            </w:r>
          </w:p>
        </w:tc>
        <w:tc>
          <w:tcPr>
            <w:tcW w:type="dxa" w:w="2324"/>
            <w:tcMar>
              <w:top w:w="80" w:type="dxa"/>
              <w:start w:w="90" w:type="dxa"/>
              <w:bottom w:w="80" w:type="dxa"/>
              <w:end w:w="90" w:type="dxa"/>
            </w:tcMar>
            <w:shd w:fill="F8FAFC"/>
            <w:vAlign w:val="center"/>
          </w:tcPr>
          <w:p>
            <w:pPr>
              <w:spacing w:after="0"/>
            </w:pPr>
            <w:r>
              <w:rPr>
                <w:rFonts w:ascii="Aptos" w:hAnsi="Aptos"/>
                <w:sz w:val="18"/>
              </w:rPr>
              <w:t>3 200 €</w:t>
            </w:r>
          </w:p>
        </w:tc>
      </w:tr>
      <w:tr>
        <w:tc>
          <w:tcPr>
            <w:tcW w:type="dxa" w:w="4139"/>
            <w:tcMar>
              <w:top w:w="80" w:type="dxa"/>
              <w:start w:w="90" w:type="dxa"/>
              <w:bottom w:w="80" w:type="dxa"/>
              <w:end w:w="90" w:type="dxa"/>
            </w:tcMar>
            <w:vAlign w:val="center"/>
          </w:tcPr>
          <w:p>
            <w:pPr>
              <w:spacing w:after="0"/>
            </w:pPr>
            <w:r>
              <w:rPr>
                <w:rFonts w:ascii="Aptos" w:hAnsi="Aptos"/>
                <w:sz w:val="18"/>
              </w:rPr>
              <w:t>Couple, un revenu de 2 000 €</w:t>
            </w:r>
          </w:p>
        </w:tc>
        <w:tc>
          <w:tcPr>
            <w:tcW w:type="dxa" w:w="2721"/>
            <w:tcMar>
              <w:top w:w="80" w:type="dxa"/>
              <w:start w:w="90" w:type="dxa"/>
              <w:bottom w:w="80" w:type="dxa"/>
              <w:end w:w="90" w:type="dxa"/>
            </w:tcMar>
            <w:vAlign w:val="center"/>
          </w:tcPr>
          <w:p>
            <w:pPr>
              <w:spacing w:after="0"/>
            </w:pPr>
            <w:r>
              <w:rPr>
                <w:rFonts w:ascii="Aptos" w:hAnsi="Aptos"/>
                <w:sz w:val="18"/>
              </w:rPr>
              <w:t>2 400 + 1 000</w:t>
            </w:r>
          </w:p>
        </w:tc>
        <w:tc>
          <w:tcPr>
            <w:tcW w:type="dxa" w:w="2324"/>
            <w:tcMar>
              <w:top w:w="80" w:type="dxa"/>
              <w:start w:w="90" w:type="dxa"/>
              <w:bottom w:w="80" w:type="dxa"/>
              <w:end w:w="90" w:type="dxa"/>
            </w:tcMar>
            <w:vAlign w:val="center"/>
          </w:tcPr>
          <w:p>
            <w:pPr>
              <w:spacing w:after="0"/>
            </w:pPr>
            <w:r>
              <w:rPr>
                <w:rFonts w:ascii="Aptos" w:hAnsi="Aptos"/>
                <w:sz w:val="18"/>
              </w:rPr>
              <w:t>3 400 €</w:t>
            </w:r>
          </w:p>
        </w:tc>
      </w:tr>
      <w:tr>
        <w:tc>
          <w:tcPr>
            <w:tcW w:type="dxa" w:w="4139"/>
            <w:tcMar>
              <w:top w:w="80" w:type="dxa"/>
              <w:start w:w="90" w:type="dxa"/>
              <w:bottom w:w="80" w:type="dxa"/>
              <w:end w:w="90" w:type="dxa"/>
            </w:tcMar>
            <w:shd w:fill="F8FAFC"/>
            <w:vAlign w:val="center"/>
          </w:tcPr>
          <w:p>
            <w:pPr>
              <w:spacing w:after="0"/>
            </w:pPr>
            <w:r>
              <w:rPr>
                <w:rFonts w:ascii="Aptos" w:hAnsi="Aptos"/>
                <w:sz w:val="18"/>
              </w:rPr>
              <w:t>Même couple, enfant 2 ans + enfant 8 ans</w:t>
            </w:r>
          </w:p>
        </w:tc>
        <w:tc>
          <w:tcPr>
            <w:tcW w:type="dxa" w:w="2721"/>
            <w:tcMar>
              <w:top w:w="80" w:type="dxa"/>
              <w:start w:w="90" w:type="dxa"/>
              <w:bottom w:w="80" w:type="dxa"/>
              <w:end w:w="90" w:type="dxa"/>
            </w:tcMar>
            <w:shd w:fill="F8FAFC"/>
            <w:vAlign w:val="center"/>
          </w:tcPr>
          <w:p>
            <w:pPr>
              <w:spacing w:after="0"/>
            </w:pPr>
            <w:r>
              <w:rPr>
                <w:rFonts w:ascii="Aptos" w:hAnsi="Aptos"/>
                <w:sz w:val="18"/>
              </w:rPr>
              <w:t>3 400 + 600 + 300</w:t>
            </w:r>
          </w:p>
        </w:tc>
        <w:tc>
          <w:tcPr>
            <w:tcW w:type="dxa" w:w="2324"/>
            <w:tcMar>
              <w:top w:w="80" w:type="dxa"/>
              <w:start w:w="90" w:type="dxa"/>
              <w:bottom w:w="80" w:type="dxa"/>
              <w:end w:w="90" w:type="dxa"/>
            </w:tcMar>
            <w:shd w:fill="F8FAFC"/>
            <w:vAlign w:val="center"/>
          </w:tcPr>
          <w:p>
            <w:pPr>
              <w:spacing w:after="0"/>
            </w:pPr>
            <w:r>
              <w:rPr>
                <w:rFonts w:ascii="Aptos" w:hAnsi="Aptos"/>
                <w:sz w:val="18"/>
              </w:rPr>
              <w:t>4 300 €</w:t>
            </w:r>
          </w:p>
        </w:tc>
      </w:tr>
    </w:tbl>
    <w:p>
      <w:pPr>
        <w:spacing w:after="20"/>
      </w:pPr>
    </w:p>
    <w:p>
      <w:r>
        <w:t>Ces exemples montrent seulement la mécanique du nouveau système. Ils ne suffisent pas à dire qu'un ménage est gagnant ou perdant par rapport au droit actuel, car il faut aussi intégrer son logement, ses impôts, ses prestations actuelles, son statut professionnel et ses éventuels revenus du capital.</w:t>
      </w:r>
    </w:p>
    <w:p>
      <w:r>
        <w:t>Le handicap fait apparaître un point important : si la cible est réellement +80 % net, un supplément de 960 € ne peut pas être taxé à 50 % sans correction. Il faut soit exonérer tout ou partie du supplément, soit relever son montant brut. Le calcul peut rester automatique dans les deux cas.</w:t>
      </w:r>
    </w:p>
    <w:p>
      <w:pPr>
        <w:pStyle w:val="Heading1"/>
        <w:keepNext/>
      </w:pPr>
      <w:r>
        <w:t>6. Un repère par rapport au système actuel</w:t>
      </w:r>
    </w:p>
    <w:p>
      <w:r>
        <w:t>La maquette EDIFIS 2025 de la DREES fournit un cas-type comparable pour une personne seule locataire en zone 2. Au 1er juillet 2025, sans revenu d'activité, son revenu disponible était de 883 €. Avec un SMIC net de 1 426 €, il atteignait 1 670 € grâce notamment à la prime d'activité.</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3324"/>
        <w:gridCol w:w="3324"/>
        <w:gridCol w:w="3324"/>
      </w:tblGrid>
      <w:tr>
        <w:trPr>
          <w:tblHeader w:val="true"/>
        </w:trPr>
        <w:tc>
          <w:tcPr>
            <w:tcW w:type="dxa" w:w="2835"/>
            <w:shd w:fill="EAF0F5"/>
            <w:tcMar>
              <w:top w:w="80" w:type="dxa"/>
              <w:start w:w="90" w:type="dxa"/>
              <w:bottom w:w="80" w:type="dxa"/>
              <w:end w:w="90" w:type="dxa"/>
            </w:tcMar>
            <w:vAlign w:val="center"/>
          </w:tcPr>
          <w:p>
            <w:pPr>
              <w:spacing w:after="0"/>
            </w:pPr>
            <w:r>
              <w:rPr>
                <w:rFonts w:ascii="Aptos" w:hAnsi="Aptos"/>
                <w:b/>
                <w:sz w:val="19"/>
              </w:rPr>
              <w:t>Personne seule</w:t>
            </w:r>
          </w:p>
        </w:tc>
        <w:tc>
          <w:tcPr>
            <w:tcW w:type="dxa" w:w="3231"/>
            <w:shd w:fill="EAF0F5"/>
            <w:tcMar>
              <w:top w:w="80" w:type="dxa"/>
              <w:start w:w="90" w:type="dxa"/>
              <w:bottom w:w="80" w:type="dxa"/>
              <w:end w:w="90" w:type="dxa"/>
            </w:tcMar>
            <w:vAlign w:val="center"/>
          </w:tcPr>
          <w:p>
            <w:pPr>
              <w:spacing w:after="0"/>
            </w:pPr>
            <w:r>
              <w:rPr>
                <w:rFonts w:ascii="Aptos" w:hAnsi="Aptos"/>
                <w:b/>
                <w:sz w:val="19"/>
              </w:rPr>
              <w:t>Système actuel, cas DREES 2025</w:t>
            </w:r>
          </w:p>
        </w:tc>
        <w:tc>
          <w:tcPr>
            <w:tcW w:type="dxa" w:w="3118"/>
            <w:shd w:fill="EAF0F5"/>
            <w:tcMar>
              <w:top w:w="80" w:type="dxa"/>
              <w:start w:w="90" w:type="dxa"/>
              <w:bottom w:w="80" w:type="dxa"/>
              <w:end w:w="90" w:type="dxa"/>
            </w:tcMar>
            <w:vAlign w:val="center"/>
          </w:tcPr>
          <w:p>
            <w:pPr>
              <w:spacing w:after="0"/>
            </w:pPr>
            <w:r>
              <w:rPr>
                <w:rFonts w:ascii="Aptos" w:hAnsi="Aptos"/>
                <w:b/>
                <w:sz w:val="19"/>
              </w:rPr>
              <w:t>Modèle RU avec taux de 50 %</w:t>
            </w:r>
          </w:p>
        </w:tc>
      </w:tr>
      <w:tr>
        <w:tc>
          <w:tcPr>
            <w:tcW w:type="dxa" w:w="2835"/>
            <w:tcMar>
              <w:top w:w="80" w:type="dxa"/>
              <w:start w:w="90" w:type="dxa"/>
              <w:bottom w:w="80" w:type="dxa"/>
              <w:end w:w="90" w:type="dxa"/>
            </w:tcMar>
            <w:vAlign w:val="center"/>
          </w:tcPr>
          <w:p>
            <w:pPr>
              <w:spacing w:after="0"/>
            </w:pPr>
            <w:r>
              <w:rPr>
                <w:rFonts w:ascii="Aptos" w:hAnsi="Aptos"/>
                <w:sz w:val="18"/>
              </w:rPr>
              <w:t>Sans emploi</w:t>
            </w:r>
          </w:p>
        </w:tc>
        <w:tc>
          <w:tcPr>
            <w:tcW w:type="dxa" w:w="3231"/>
            <w:tcMar>
              <w:top w:w="80" w:type="dxa"/>
              <w:start w:w="90" w:type="dxa"/>
              <w:bottom w:w="80" w:type="dxa"/>
              <w:end w:w="90" w:type="dxa"/>
            </w:tcMar>
            <w:vAlign w:val="center"/>
          </w:tcPr>
          <w:p>
            <w:pPr>
              <w:spacing w:after="0"/>
            </w:pPr>
            <w:r>
              <w:rPr>
                <w:rFonts w:ascii="Aptos" w:hAnsi="Aptos"/>
                <w:sz w:val="18"/>
              </w:rPr>
              <w:t>883 €</w:t>
            </w:r>
          </w:p>
        </w:tc>
        <w:tc>
          <w:tcPr>
            <w:tcW w:type="dxa" w:w="3118"/>
            <w:tcMar>
              <w:top w:w="80" w:type="dxa"/>
              <w:start w:w="90" w:type="dxa"/>
              <w:bottom w:w="80" w:type="dxa"/>
              <w:end w:w="90" w:type="dxa"/>
            </w:tcMar>
            <w:vAlign w:val="center"/>
          </w:tcPr>
          <w:p>
            <w:pPr>
              <w:spacing w:after="0"/>
            </w:pPr>
            <w:r>
              <w:rPr>
                <w:rFonts w:ascii="Aptos" w:hAnsi="Aptos"/>
                <w:sz w:val="18"/>
              </w:rPr>
              <w:t>1 200 €</w:t>
            </w:r>
          </w:p>
        </w:tc>
      </w:tr>
      <w:tr>
        <w:tc>
          <w:tcPr>
            <w:tcW w:type="dxa" w:w="2835"/>
            <w:tcMar>
              <w:top w:w="80" w:type="dxa"/>
              <w:start w:w="90" w:type="dxa"/>
              <w:bottom w:w="80" w:type="dxa"/>
              <w:end w:w="90" w:type="dxa"/>
            </w:tcMar>
            <w:shd w:fill="F8FAFC"/>
            <w:vAlign w:val="center"/>
          </w:tcPr>
          <w:p>
            <w:pPr>
              <w:spacing w:after="0"/>
            </w:pPr>
            <w:r>
              <w:rPr>
                <w:rFonts w:ascii="Aptos" w:hAnsi="Aptos"/>
                <w:sz w:val="18"/>
              </w:rPr>
              <w:t>Avec le SMIC 2025 (1 426 € net)</w:t>
            </w:r>
          </w:p>
        </w:tc>
        <w:tc>
          <w:tcPr>
            <w:tcW w:type="dxa" w:w="3231"/>
            <w:tcMar>
              <w:top w:w="80" w:type="dxa"/>
              <w:start w:w="90" w:type="dxa"/>
              <w:bottom w:w="80" w:type="dxa"/>
              <w:end w:w="90" w:type="dxa"/>
            </w:tcMar>
            <w:shd w:fill="F8FAFC"/>
            <w:vAlign w:val="center"/>
          </w:tcPr>
          <w:p>
            <w:pPr>
              <w:spacing w:after="0"/>
            </w:pPr>
            <w:r>
              <w:rPr>
                <w:rFonts w:ascii="Aptos" w:hAnsi="Aptos"/>
                <w:sz w:val="18"/>
              </w:rPr>
              <w:t>1 670 €</w:t>
            </w:r>
          </w:p>
        </w:tc>
        <w:tc>
          <w:tcPr>
            <w:tcW w:type="dxa" w:w="3118"/>
            <w:tcMar>
              <w:top w:w="80" w:type="dxa"/>
              <w:start w:w="90" w:type="dxa"/>
              <w:bottom w:w="80" w:type="dxa"/>
              <w:end w:w="90" w:type="dxa"/>
            </w:tcMar>
            <w:shd w:fill="F8FAFC"/>
            <w:vAlign w:val="center"/>
          </w:tcPr>
          <w:p>
            <w:pPr>
              <w:spacing w:after="0"/>
            </w:pPr>
            <w:r>
              <w:rPr>
                <w:rFonts w:ascii="Aptos" w:hAnsi="Aptos"/>
                <w:sz w:val="18"/>
              </w:rPr>
              <w:t>1 913 €</w:t>
            </w:r>
          </w:p>
        </w:tc>
      </w:tr>
    </w:tbl>
    <w:p>
      <w:pPr>
        <w:spacing w:after="20"/>
      </w:pPr>
    </w:p>
    <w:p>
      <w:r>
        <w:t>Cette comparaison est volontairement limitée à un seul cas-type et à la même base de salaire 2025. Elle ne permet pas de conclure pour l'ensemble de la population. À partir des revenus moyens et élevés, le nouveau prélèvement peut devenir supérieur à la fiscalité actuelle. Les couples, les retraités, les indépendants et les revenus du capital doivent être simulés séparément.</w:t>
      </w:r>
    </w:p>
    <w:p>
      <w:pPr>
        <w:pStyle w:val="Heading1"/>
        <w:keepNext/>
      </w:pPr>
      <w:r>
        <w:t>7. Ce que cela peut changer pour le temps de travail</w:t>
      </w:r>
    </w:p>
    <w:p>
      <w:r>
        <w:t>Le point intéressant n'est pas seulement la pauvreté. C'est aussi le rapport entre revenu et temps libre. Avec un taux de 50 %, quelqu'un qui peut gagner 2 000 € à temps plein disposerait de 2 200 €. S'il passe à un mi-temps payé 1 000 €, il disposerait de 1 700 €. Il récupère environ la moitié de son temps de travail en perdant 500 € de revenu disponible, pas 1 000 €.</w:t>
      </w:r>
    </w:p>
    <w:p>
      <w:r>
        <w:t>Cela peut rendre le temps partiel plus accessible. Il faut toutefois rester prudent avec l'idée que cela réduirait automatiquement le chômage. Le nombre d'heures de travail n'est pas un stock fixe. Une entreprise peut remplacer les heures, automatiser, produire moins ou réorganiser le poste. Cet effet doit être mesuré, pas supposé.</w:t>
      </w:r>
    </w:p>
    <w:p>
      <w:pPr>
        <w:pStyle w:val="Heading1"/>
        <w:keepNext/>
      </w:pPr>
      <w:r>
        <w:t>8. Les principaux problèmes à tester</w:t>
      </w:r>
    </w:p>
    <w:p>
      <w:r>
        <w:rPr>
          <w:b/>
        </w:rPr>
        <w:t xml:space="preserve">Financement réel : </w:t>
      </w:r>
      <w:r>
        <w:t>Le taux nécessaire dépend du traitement de la CSG, des cotisations, des retraites, du chômage, des revenus du capital, des couples et des prestations supprimées. Les données agrégées ne suffisent pas.</w:t>
      </w:r>
    </w:p>
    <w:p>
      <w:r>
        <w:rPr>
          <w:b/>
        </w:rPr>
        <w:t xml:space="preserve">Logement : </w:t>
      </w:r>
      <w:r>
        <w:t>Si une partie des aides au logement est intégrée au revenu universel sans augmentation de l'offre de logements, une partie du gain peut partir dans les loyers. Une politique du logement doit donc accompagner la réforme.</w:t>
      </w:r>
    </w:p>
    <w:p>
      <w:r>
        <w:rPr>
          <w:b/>
        </w:rPr>
        <w:t xml:space="preserve">Temps de travail : </w:t>
      </w:r>
      <w:r>
        <w:t>Si beaucoup de personnes réduisent leurs heures et que personne ne les remplace, l'assiette fiscale baisse. Il faut au minimum tester des scénarios de -5 %, -10 % et -15 % de revenus taxables.</w:t>
      </w:r>
    </w:p>
    <w:p>
      <w:r>
        <w:rPr>
          <w:b/>
        </w:rPr>
        <w:t xml:space="preserve">Hauts revenus et optimisation : </w:t>
      </w:r>
      <w:r>
        <w:t>Un taux marginal élevé peut pousser à transformer du salaire en dividendes, à déplacer certains revenus ou à partir. L'assiette doit donc traiter de façon cohérente le travail et le capital.</w:t>
      </w:r>
    </w:p>
    <w:p>
      <w:r>
        <w:rPr>
          <w:b/>
        </w:rPr>
        <w:t xml:space="preserve">Inflation : </w:t>
      </w:r>
      <w:r>
        <w:t>Un transfert massif peut augmenter la demande dans les secteurs où l'offre est bloquée, surtout le logement et certains services. Le revenu universel ne crée pas automatiquement des logements, des médecins ou des places en crèche.</w:t>
      </w:r>
    </w:p>
    <w:p>
      <w:r>
        <w:rPr>
          <w:b/>
        </w:rPr>
        <w:t xml:space="preserve">Transition : </w:t>
      </w:r>
      <w:r>
        <w:t>Les prestations existantes ne peuvent pas être supprimées du jour au lendemain. Personne ne devrait perdre un droit avant que le nouveau socle et les règles de transition soient effectivement en place.</w:t>
      </w:r>
    </w:p>
    <w:p>
      <w:pPr>
        <w:pStyle w:val="Heading1"/>
        <w:keepNext/>
      </w:pPr>
      <w:r>
        <w:t>9. Faut-il vraiment un taux unique ?</w:t>
      </w:r>
    </w:p>
    <w:p>
      <w:r>
        <w:t>Pas forcément. Être taxé dès le premier euro ne veut pas dire que tous les euros doivent être taxés au même taux. Le taux uniforme à 50 % est pratique pour comprendre le modèle, mais un barème progressif peut être plus acceptable. On ne peut pas construire honnêtement ce barème sans connaître la distribution réelle des revenus, des foyers et des prestations.</w:t>
      </w:r>
    </w:p>
    <w:p>
      <w:r>
        <w:t>La bonne comparaison serait donc de tester au moins trois versions : un taux uniforme, un barème progressif et un impôt négatif équivalent. Pour chacune, il faudrait publier le taux d'effort par décile, le revenu disponible, le coût budgétaire et la sensibilité à une baisse du temps de travail.</w:t>
      </w:r>
    </w:p>
    <w:p>
      <w:pPr>
        <w:pStyle w:val="Heading1"/>
        <w:keepNext/>
        <w:pageBreakBefore/>
      </w:pPr>
      <w:r>
        <w:t>10. Une mise en place possible sur cinq ans</w:t>
      </w:r>
    </w:p>
    <w:tbl>
      <w:tblPr>
        <w:tblW w:type="auto" w:w="0"/>
        <w:jc w:val="center"/>
        <w:tblLayout w:type="fixed"/>
        <w:tblLook w:firstColumn="1" w:firstRow="1" w:lastColumn="0" w:lastRow="0" w:noHBand="0" w:noVBand="1" w:val="04A0"/>
        <w:tblBorders>
          <w:top w:val="single" w:sz="4" w:space="0" w:color="D9E0E7"/>
          <w:left w:val="single" w:sz="4" w:space="0" w:color="D9E0E7"/>
          <w:bottom w:val="single" w:sz="4" w:space="0" w:color="D9E0E7"/>
          <w:right w:val="single" w:sz="4" w:space="0" w:color="D9E0E7"/>
          <w:insideH w:val="single" w:sz="4" w:space="0" w:color="D9E0E7"/>
          <w:insideV w:val="single" w:sz="4" w:space="0" w:color="D9E0E7"/>
        </w:tblBorders>
      </w:tblPr>
      <w:tblGrid>
        <w:gridCol w:w="4986"/>
        <w:gridCol w:w="4986"/>
      </w:tblGrid>
      <w:tr>
        <w:trPr>
          <w:tblHeader w:val="true"/>
        </w:trPr>
        <w:tc>
          <w:tcPr>
            <w:tcW w:type="dxa" w:w="1531"/>
            <w:shd w:fill="EAF0F5"/>
            <w:tcMar>
              <w:top w:w="80" w:type="dxa"/>
              <w:start w:w="90" w:type="dxa"/>
              <w:bottom w:w="80" w:type="dxa"/>
              <w:end w:w="90" w:type="dxa"/>
            </w:tcMar>
            <w:vAlign w:val="center"/>
          </w:tcPr>
          <w:p>
            <w:pPr>
              <w:spacing w:after="0"/>
            </w:pPr>
            <w:r>
              <w:rPr>
                <w:rFonts w:ascii="Aptos" w:hAnsi="Aptos"/>
                <w:b/>
                <w:sz w:val="19"/>
              </w:rPr>
              <w:t>Étape</w:t>
            </w:r>
          </w:p>
        </w:tc>
        <w:tc>
          <w:tcPr>
            <w:tcW w:type="dxa" w:w="7654"/>
            <w:shd w:fill="EAF0F5"/>
            <w:tcMar>
              <w:top w:w="80" w:type="dxa"/>
              <w:start w:w="90" w:type="dxa"/>
              <w:bottom w:w="80" w:type="dxa"/>
              <w:end w:w="90" w:type="dxa"/>
            </w:tcMar>
            <w:vAlign w:val="center"/>
          </w:tcPr>
          <w:p>
            <w:pPr>
              <w:spacing w:after="0"/>
            </w:pPr>
            <w:r>
              <w:rPr>
                <w:rFonts w:ascii="Aptos" w:hAnsi="Aptos"/>
                <w:b/>
                <w:sz w:val="19"/>
              </w:rPr>
              <w:t>Contenu</w:t>
            </w:r>
          </w:p>
        </w:tc>
      </w:tr>
      <w:tr>
        <w:tc>
          <w:tcPr>
            <w:tcW w:type="dxa" w:w="1531"/>
            <w:tcMar>
              <w:top w:w="80" w:type="dxa"/>
              <w:start w:w="90" w:type="dxa"/>
              <w:bottom w:w="80" w:type="dxa"/>
              <w:end w:w="90" w:type="dxa"/>
            </w:tcMar>
            <w:vAlign w:val="center"/>
          </w:tcPr>
          <w:p>
            <w:pPr>
              <w:spacing w:after="0"/>
            </w:pPr>
            <w:r>
              <w:rPr>
                <w:rFonts w:ascii="Aptos" w:hAnsi="Aptos"/>
                <w:sz w:val="18"/>
              </w:rPr>
              <w:t>Année 1</w:t>
            </w:r>
          </w:p>
        </w:tc>
        <w:tc>
          <w:tcPr>
            <w:tcW w:type="dxa" w:w="7654"/>
            <w:tcMar>
              <w:top w:w="80" w:type="dxa"/>
              <w:start w:w="90" w:type="dxa"/>
              <w:bottom w:w="80" w:type="dxa"/>
              <w:end w:w="90" w:type="dxa"/>
            </w:tcMar>
            <w:vAlign w:val="center"/>
          </w:tcPr>
          <w:p>
            <w:pPr>
              <w:spacing w:after="0"/>
            </w:pPr>
            <w:r>
              <w:rPr>
                <w:rFonts w:ascii="Aptos" w:hAnsi="Aptos"/>
                <w:sz w:val="18"/>
              </w:rPr>
              <w:t>Microsimulation officielle, débat public, définition de l'assiette fiscale, règles de résidence et protection des droits acquis. Mise en ligne d'un calculateur public.</w:t>
            </w:r>
          </w:p>
        </w:tc>
      </w:tr>
      <w:tr>
        <w:tc>
          <w:tcPr>
            <w:tcW w:type="dxa" w:w="1531"/>
            <w:tcMar>
              <w:top w:w="80" w:type="dxa"/>
              <w:start w:w="90" w:type="dxa"/>
              <w:bottom w:w="80" w:type="dxa"/>
              <w:end w:w="90" w:type="dxa"/>
            </w:tcMar>
            <w:shd w:fill="F8FAFC"/>
            <w:vAlign w:val="center"/>
          </w:tcPr>
          <w:p>
            <w:pPr>
              <w:spacing w:after="0"/>
            </w:pPr>
            <w:r>
              <w:rPr>
                <w:rFonts w:ascii="Aptos" w:hAnsi="Aptos"/>
                <w:sz w:val="18"/>
              </w:rPr>
              <w:t>Année 2</w:t>
            </w:r>
          </w:p>
        </w:tc>
        <w:tc>
          <w:tcPr>
            <w:tcW w:type="dxa" w:w="7654"/>
            <w:tcMar>
              <w:top w:w="80" w:type="dxa"/>
              <w:start w:w="90" w:type="dxa"/>
              <w:bottom w:w="80" w:type="dxa"/>
              <w:end w:w="90" w:type="dxa"/>
            </w:tcMar>
            <w:shd w:fill="F8FAFC"/>
            <w:vAlign w:val="center"/>
          </w:tcPr>
          <w:p>
            <w:pPr>
              <w:spacing w:after="0"/>
            </w:pPr>
            <w:r>
              <w:rPr>
                <w:rFonts w:ascii="Aptos" w:hAnsi="Aptos"/>
                <w:sz w:val="18"/>
              </w:rPr>
              <w:t>Revenu enfant automatique et première fusion de prestations. Aucune suppression de droit avant mise en place du mécanisme qui le remplace.</w:t>
            </w:r>
          </w:p>
        </w:tc>
      </w:tr>
      <w:tr>
        <w:tc>
          <w:tcPr>
            <w:tcW w:type="dxa" w:w="1531"/>
            <w:tcMar>
              <w:top w:w="80" w:type="dxa"/>
              <w:start w:w="90" w:type="dxa"/>
              <w:bottom w:w="80" w:type="dxa"/>
              <w:end w:w="90" w:type="dxa"/>
            </w:tcMar>
            <w:vAlign w:val="center"/>
          </w:tcPr>
          <w:p>
            <w:pPr>
              <w:spacing w:after="0"/>
            </w:pPr>
            <w:r>
              <w:rPr>
                <w:rFonts w:ascii="Aptos" w:hAnsi="Aptos"/>
                <w:sz w:val="18"/>
              </w:rPr>
              <w:t>Année 3</w:t>
            </w:r>
          </w:p>
        </w:tc>
        <w:tc>
          <w:tcPr>
            <w:tcW w:type="dxa" w:w="7654"/>
            <w:tcMar>
              <w:top w:w="80" w:type="dxa"/>
              <w:start w:w="90" w:type="dxa"/>
              <w:bottom w:w="80" w:type="dxa"/>
              <w:end w:w="90" w:type="dxa"/>
            </w:tcMar>
            <w:vAlign w:val="center"/>
          </w:tcPr>
          <w:p>
            <w:pPr>
              <w:spacing w:after="0"/>
            </w:pPr>
            <w:r>
              <w:rPr>
                <w:rFonts w:ascii="Aptos" w:hAnsi="Aptos"/>
                <w:sz w:val="18"/>
              </w:rPr>
              <w:t>Premier socle adulte significatif, par exemple 700 à 800 €, avec extinction progressive des aides devenues réellement redondantes.</w:t>
            </w:r>
          </w:p>
        </w:tc>
      </w:tr>
      <w:tr>
        <w:tc>
          <w:tcPr>
            <w:tcW w:type="dxa" w:w="1531"/>
            <w:tcMar>
              <w:top w:w="80" w:type="dxa"/>
              <w:start w:w="90" w:type="dxa"/>
              <w:bottom w:w="80" w:type="dxa"/>
              <w:end w:w="90" w:type="dxa"/>
            </w:tcMar>
            <w:shd w:fill="F8FAFC"/>
            <w:vAlign w:val="center"/>
          </w:tcPr>
          <w:p>
            <w:pPr>
              <w:spacing w:after="0"/>
            </w:pPr>
            <w:r>
              <w:rPr>
                <w:rFonts w:ascii="Aptos" w:hAnsi="Aptos"/>
                <w:sz w:val="18"/>
              </w:rPr>
              <w:t>Année 4</w:t>
            </w:r>
          </w:p>
        </w:tc>
        <w:tc>
          <w:tcPr>
            <w:tcW w:type="dxa" w:w="7654"/>
            <w:tcMar>
              <w:top w:w="80" w:type="dxa"/>
              <w:start w:w="90" w:type="dxa"/>
              <w:bottom w:w="80" w:type="dxa"/>
              <w:end w:w="90" w:type="dxa"/>
            </w:tcMar>
            <w:shd w:fill="F8FAFC"/>
            <w:vAlign w:val="center"/>
          </w:tcPr>
          <w:p>
            <w:pPr>
              <w:spacing w:after="0"/>
            </w:pPr>
            <w:r>
              <w:rPr>
                <w:rFonts w:ascii="Aptos" w:hAnsi="Aptos"/>
                <w:sz w:val="18"/>
              </w:rPr>
              <w:t>Montée vers 1 000 €, intégration du premier étage du chômage et de certains minima vieillesse.</w:t>
            </w:r>
          </w:p>
        </w:tc>
      </w:tr>
      <w:tr>
        <w:tc>
          <w:tcPr>
            <w:tcW w:type="dxa" w:w="1531"/>
            <w:tcMar>
              <w:top w:w="80" w:type="dxa"/>
              <w:start w:w="90" w:type="dxa"/>
              <w:bottom w:w="80" w:type="dxa"/>
              <w:end w:w="90" w:type="dxa"/>
            </w:tcMar>
            <w:vAlign w:val="center"/>
          </w:tcPr>
          <w:p>
            <w:pPr>
              <w:spacing w:after="0"/>
            </w:pPr>
            <w:r>
              <w:rPr>
                <w:rFonts w:ascii="Aptos" w:hAnsi="Aptos"/>
                <w:sz w:val="18"/>
              </w:rPr>
              <w:t>Année 5</w:t>
            </w:r>
          </w:p>
        </w:tc>
        <w:tc>
          <w:tcPr>
            <w:tcW w:type="dxa" w:w="7654"/>
            <w:tcMar>
              <w:top w:w="80" w:type="dxa"/>
              <w:start w:w="90" w:type="dxa"/>
              <w:bottom w:w="80" w:type="dxa"/>
              <w:end w:w="90" w:type="dxa"/>
            </w:tcMar>
            <w:vAlign w:val="center"/>
          </w:tcPr>
          <w:p>
            <w:pPr>
              <w:spacing w:after="0"/>
            </w:pPr>
            <w:r>
              <w:rPr>
                <w:rFonts w:ascii="Aptos" w:hAnsi="Aptos"/>
                <w:sz w:val="18"/>
              </w:rPr>
              <w:t>Cible autour de 1 200 €, nouveau barème fiscal complet et évaluation indépendante. Ajustement si les effets sur le travail, les loyers ou les comptes publics diffèrent des prévisions.</w:t>
            </w:r>
          </w:p>
        </w:tc>
      </w:tr>
    </w:tbl>
    <w:p>
      <w:pPr>
        <w:spacing w:after="20"/>
      </w:pPr>
    </w:p>
    <w:p>
      <w:pPr>
        <w:pStyle w:val="Heading1"/>
        <w:keepNext/>
      </w:pPr>
      <w:r>
        <w:t>11. Ce qu’il faudrait faire simuler</w:t>
      </w:r>
    </w:p>
    <w:p>
      <w:pPr>
        <w:pStyle w:val="ListBullet"/>
        <w:spacing w:after="60"/>
      </w:pPr>
      <w:r>
        <w:t>Faire tourner le scénario dans INES ou un outil équivalent avec des microdonnées fiscales et sociales réelles.</w:t>
      </w:r>
    </w:p>
    <w:p>
      <w:pPr>
        <w:pStyle w:val="ListBullet"/>
        <w:spacing w:after="60"/>
      </w:pPr>
      <w:r>
        <w:t>Publier les gagnants et les perdants par décile de revenu, âge, composition familiale et statut professionnel.</w:t>
      </w:r>
    </w:p>
    <w:p>
      <w:pPr>
        <w:pStyle w:val="ListBullet"/>
        <w:spacing w:after="60"/>
      </w:pPr>
      <w:r>
        <w:t>Tester des revenus adultes à 1 000 €, 1 200 € et 1 400 €, avec plusieurs montants enfants.</w:t>
      </w:r>
    </w:p>
    <w:p>
      <w:pPr>
        <w:pStyle w:val="ListBullet"/>
        <w:spacing w:after="60"/>
      </w:pPr>
      <w:r>
        <w:t>Comparer un taux uniforme et plusieurs barèmes progressifs, avec prélèvement dès le premier euro.</w:t>
      </w:r>
    </w:p>
    <w:p>
      <w:pPr>
        <w:pStyle w:val="ListBullet"/>
        <w:spacing w:after="60"/>
      </w:pPr>
      <w:r>
        <w:t>Tester une baisse de 5 %, 10 % et 15 % de l'assiette liée à une éventuelle réduction du temps de travail.</w:t>
      </w:r>
    </w:p>
    <w:p>
      <w:pPr>
        <w:pStyle w:val="ListBullet"/>
        <w:spacing w:after="60"/>
      </w:pPr>
      <w:r>
        <w:t>Traiter séparément le logement, les indépendants, les retraités, le handicap et les revenus du capital.</w:t>
      </w:r>
    </w:p>
    <w:p>
      <w:pPr>
        <w:pStyle w:val="ListBullet"/>
        <w:spacing w:after="60"/>
      </w:pPr>
      <w:r>
        <w:t>Publier les hypothèses et un calculateur ouvert permettant à chacun de tester sa propre situation.</w:t>
      </w:r>
    </w:p>
    <w:p>
      <w:r>
        <w:rPr>
          <w:b/>
        </w:rPr>
        <w:t xml:space="preserve">L'objectif n'est pas de défendre un taux ou un montant coûte que coûte. </w:t>
      </w:r>
      <w:r>
        <w:t>Si le scénario ne tient pas, il faut le montrer. S'il tient avec certaines variantes, il faut aussi le montrer. L'intérêt de la proposition est justement qu'elle est assez simple pour être testée de façon transparente.</w:t>
      </w:r>
    </w:p>
    <w:p>
      <w:pPr>
        <w:pStyle w:val="Heading1"/>
        <w:keepNext/>
        <w:pageBreakBefore/>
      </w:pPr>
      <w:r>
        <w:t>12. Conclusion</w:t>
      </w:r>
    </w:p>
    <w:p>
      <w:r>
        <w:t>Cette proposition part d'un choix politique clair : garantir à chacun un socle permettant de vivre modestement, puis faire en sorte que chaque euro gagné améliore toujours le revenu disponible. En échange, une grande partie des prestations monétaires conditionnelles serait intégrée à un système beaucoup plus automatique et lisible.</w:t>
      </w:r>
    </w:p>
    <w:p>
      <w:r>
        <w:t>Le point difficile n'est pas le principe de versement, qui est techniquement simple. Ce sont le financement, la transition avec les retraites et le chômage, le logement, la réaction du temps de travail et le traitement des hauts revenus. Ces questions peuvent être chiffrées. La suite logique serait donc une microsimulation publique, reproductible et comparée au système actuel, avant de conclure que le modèle est viable ou non.</w:t>
      </w:r>
    </w:p>
    <w:p>
      <w:pPr>
        <w:pStyle w:val="Heading1"/>
        <w:keepNext/>
      </w:pPr>
      <w:r>
        <w:t>Sources principales</w:t>
      </w:r>
    </w:p>
    <w:p>
      <w:pPr>
        <w:spacing w:after="60"/>
      </w:pPr>
      <w:r>
        <w:rPr>
          <w:b/>
          <w:sz w:val="17"/>
        </w:rPr>
        <w:t>1. Insee, Bilan démographique 2025, population au 1er janvier 2026</w:t>
      </w:r>
      <w:r>
        <w:rPr>
          <w:color w:val="4B5F73"/>
          <w:sz w:val="16"/>
        </w:rPr>
        <w:br/>
        <w:t>https://www.insee.fr/fr/statistiques/8719824</w:t>
      </w:r>
    </w:p>
    <w:p>
      <w:pPr>
        <w:spacing w:after="60"/>
      </w:pPr>
      <w:r>
        <w:rPr>
          <w:b/>
          <w:sz w:val="17"/>
        </w:rPr>
        <w:t>2. Insee, estimations de population par âge au 1er janvier 2026</w:t>
      </w:r>
      <w:r>
        <w:rPr>
          <w:color w:val="4B5F73"/>
          <w:sz w:val="16"/>
        </w:rPr>
        <w:br/>
        <w:t>https://www.insee.fr/fr/statistiques/2012692</w:t>
      </w:r>
    </w:p>
    <w:p>
      <w:pPr>
        <w:spacing w:after="60"/>
      </w:pPr>
      <w:r>
        <w:rPr>
          <w:b/>
          <w:sz w:val="17"/>
        </w:rPr>
        <w:t>3. DREES, Minima sociaux et prestations de solidarité, édition 2025</w:t>
      </w:r>
      <w:r>
        <w:rPr>
          <w:color w:val="4B5F73"/>
          <w:sz w:val="16"/>
        </w:rPr>
        <w:br/>
        <w:t>https://drees.solidarites-sante.gouv.fr/publications-communique-de-presse/panoramas-de-la-drees/251204-minima-sociaux-et-prestations-de-solidarite</w:t>
      </w:r>
    </w:p>
    <w:p>
      <w:pPr>
        <w:spacing w:after="60"/>
      </w:pPr>
      <w:r>
        <w:rPr>
          <w:b/>
          <w:sz w:val="17"/>
        </w:rPr>
        <w:t>4. DREES, maquette EDIFIS 2025</w:t>
      </w:r>
      <w:r>
        <w:rPr>
          <w:color w:val="4B5F73"/>
          <w:sz w:val="16"/>
        </w:rPr>
        <w:br/>
        <w:t>https://www.drees.solidarites-sante.gouv.fr/communique-de-presse-jeux-de-donnees/260210-redistribution-socio-fiscale-en-2025-actualisation</w:t>
      </w:r>
    </w:p>
    <w:p>
      <w:pPr>
        <w:spacing w:after="60"/>
      </w:pPr>
      <w:r>
        <w:rPr>
          <w:b/>
          <w:sz w:val="17"/>
        </w:rPr>
        <w:t>5. DREES, La protection sociale en France et en Europe en 2024, édition 2025</w:t>
      </w:r>
      <w:r>
        <w:rPr>
          <w:color w:val="4B5F73"/>
          <w:sz w:val="16"/>
        </w:rPr>
        <w:br/>
        <w:t>https://drees.solidarites-sante.gouv.fr/sites/default/files/2025-12/La%20protection%20sociale%20en%20France%20et%20en%20Europe%20en%202024%20-%20R%C3%A9sultats%20des%20comptes%20de%20la%20protection%20sociale%20-%20%C3%89dition%202025.pdf</w:t>
      </w:r>
    </w:p>
    <w:p>
      <w:pPr>
        <w:spacing w:after="60"/>
      </w:pPr>
      <w:r>
        <w:rPr>
          <w:b/>
          <w:sz w:val="17"/>
        </w:rPr>
        <w:t>6. CAF, dépenses de prime d'activité 2024</w:t>
      </w:r>
      <w:r>
        <w:rPr>
          <w:color w:val="4B5F73"/>
          <w:sz w:val="16"/>
        </w:rPr>
        <w:br/>
        <w:t>https://caf.fr/professionnels/etudes-et-international/5-en-2024-les-depenses-de-prime-d-activite-augmentent-de-14</w:t>
      </w:r>
    </w:p>
    <w:p>
      <w:pPr>
        <w:spacing w:after="60"/>
      </w:pPr>
      <w:r>
        <w:rPr>
          <w:b/>
          <w:sz w:val="17"/>
        </w:rPr>
        <w:t>7. CAF, prestations pour l'entretien et l'éducation de l'enfant 2024</w:t>
      </w:r>
      <w:r>
        <w:rPr>
          <w:color w:val="4B5F73"/>
          <w:sz w:val="16"/>
        </w:rPr>
        <w:br/>
        <w:t>https://www.caf.fr/professionnels/etudes-et-international/7-en-2024-les-depenses-de-prestations-pour-l-entretien-et-l-education-de-l-enfant-augmentent-de-34</w:t>
      </w:r>
    </w:p>
    <w:p>
      <w:pPr>
        <w:spacing w:after="60"/>
      </w:pPr>
      <w:r>
        <w:rPr>
          <w:b/>
          <w:sz w:val="17"/>
        </w:rPr>
        <w:t>8. CAF, rapport d’activité de la branche Famille 2024</w:t>
      </w:r>
      <w:r>
        <w:rPr>
          <w:color w:val="4B5F73"/>
          <w:sz w:val="16"/>
        </w:rPr>
        <w:br/>
        <w:t>https://www.caf.fr/sites/default/files/medias/cnaf/Professionnels/Actualites/2025/Rapport%20d%27activit%C3%A9%202024/250194_Rapport%20d%E2%80%99activit%C3%A9%20de%20la%20branche%20Famille%202024_v5%20M%20planches.pdf</w:t>
      </w:r>
    </w:p>
    <w:p>
      <w:pPr>
        <w:spacing w:after="60"/>
      </w:pPr>
      <w:r>
        <w:rPr>
          <w:b/>
          <w:sz w:val="17"/>
        </w:rPr>
        <w:t>9. DGFiP, L’impôt sur le revenu 2024, Statistiques n°41</w:t>
      </w:r>
      <w:r>
        <w:rPr>
          <w:color w:val="4B5F73"/>
          <w:sz w:val="16"/>
        </w:rPr>
        <w:br/>
        <w:t>https://www.impots.gouv.fr/dgfip-statistiques-limpot-sur-le-revenu-2024-ete-plus-dynamique-que-les-revenus</w:t>
      </w:r>
    </w:p>
    <w:p>
      <w:pPr>
        <w:spacing w:after="60"/>
      </w:pPr>
      <w:r>
        <w:rPr>
          <w:b/>
          <w:sz w:val="17"/>
        </w:rPr>
        <w:t>10. Service Public, revalorisation du SMIC au 1er juin 2026</w:t>
      </w:r>
      <w:r>
        <w:rPr>
          <w:color w:val="4B5F73"/>
          <w:sz w:val="16"/>
        </w:rPr>
        <w:br/>
        <w:t>https://entreprendre.service-public.gouv.fr/actualites/A18916</w:t>
      </w:r>
    </w:p>
    <w:sectPr>
      <w:footerReference w:type="default" r:id="rId9"/>
      <w:pgSz w:w="12240" w:h="15840"/>
      <w:pgMar w:top="964" w:right="1134" w:bottom="87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Pr>
    <w:r>
      <w:rPr>
        <w:color w:val="6E7882"/>
        <w:sz w:val="16"/>
      </w:rPr>
      <w:t xml:space="preserve">Proposition citoyenne - revenu universel à 1 200 €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Aptos Display" w:hAnsi="Aptos Display"/>
      <w:b/>
      <w:bCs/>
      <w:color w:val="18324A"/>
      <w:sz w:val="32"/>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w:hAnsi="Aptos"/>
      <w:b/>
      <w:bCs/>
      <w:color w:val="2F536B"/>
      <w:sz w:val="25"/>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w:hAnsi="Aptos"/>
      <w:b/>
      <w:bCs/>
      <w:color w:val="2F536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8324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4B64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312" w:hanging="142"/>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citoyenne - Revenu universel à 1 200 €</dc:title>
  <dc:subject>Revenu universel, fiscalité et simplification de la protection sociale</dc:subject>
  <dc:creator/>
  <cp:keywords>revenu universel, protection sociale, fiscalité, microsimulation</cp:keywords>
  <dc:description/>
  <cp:lastModifiedBy/>
  <cp:revision>1</cp:revision>
  <dcterms:created xsi:type="dcterms:W3CDTF">2013-12-23T23:15:00Z</dcterms:created>
  <dcterms:modified xsi:type="dcterms:W3CDTF">2013-12-23T23:15:00Z</dcterms:modified>
  <cp:category/>
</cp:coreProperties>
</file>